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rPr>
          <w:rFonts w:ascii="Arial"/>
          <w:sz w:val="21"/>
        </w:rPr>
      </w:pPr>
    </w:p>
    <w:p>
      <w:pPr>
        <w:spacing w:line="288" w:lineRule="auto"/>
        <w:rPr>
          <w:rFonts w:ascii="Arial"/>
          <w:sz w:val="21"/>
        </w:rPr>
      </w:pPr>
    </w:p>
    <w:p>
      <w:pPr>
        <w:spacing w:line="289" w:lineRule="auto"/>
        <w:rPr>
          <w:rFonts w:ascii="Arial"/>
          <w:sz w:val="21"/>
        </w:rPr>
      </w:pPr>
    </w:p>
    <w:p>
      <w:pPr>
        <w:spacing w:before="185" w:line="187" w:lineRule="auto"/>
        <w:ind w:left="1096"/>
        <w:jc w:val="center"/>
        <w:outlineLvl w:val="0"/>
        <w:rPr>
          <w:rFonts w:ascii="微软雅黑" w:hAnsi="微软雅黑" w:eastAsia="微软雅黑" w:cs="微软雅黑"/>
          <w:sz w:val="43"/>
          <w:szCs w:val="43"/>
        </w:rPr>
      </w:pPr>
      <w:bookmarkStart w:id="0" w:name="_GoBack"/>
      <w:r>
        <w:rPr>
          <w:rFonts w:ascii="微软雅黑" w:hAnsi="微软雅黑" w:eastAsia="微软雅黑" w:cs="微软雅黑"/>
          <w:spacing w:val="7"/>
          <w:sz w:val="43"/>
          <w:szCs w:val="43"/>
        </w:rPr>
        <w:t>东明县住房和城乡建设局 202</w:t>
      </w:r>
      <w:r>
        <w:rPr>
          <w:rFonts w:hint="eastAsia" w:ascii="微软雅黑" w:hAnsi="微软雅黑" w:eastAsia="微软雅黑" w:cs="微软雅黑"/>
          <w:spacing w:val="7"/>
          <w:sz w:val="43"/>
          <w:szCs w:val="43"/>
          <w:lang w:val="en-US" w:eastAsia="zh-CN"/>
        </w:rPr>
        <w:t>6</w:t>
      </w:r>
      <w:r>
        <w:rPr>
          <w:rFonts w:ascii="微软雅黑" w:hAnsi="微软雅黑" w:eastAsia="微软雅黑" w:cs="微软雅黑"/>
          <w:spacing w:val="7"/>
          <w:sz w:val="43"/>
          <w:szCs w:val="43"/>
        </w:rPr>
        <w:t xml:space="preserve"> 年执法结果信息公示</w:t>
      </w:r>
    </w:p>
    <w:bookmarkEnd w:id="0"/>
    <w:p>
      <w:pPr>
        <w:spacing w:line="93" w:lineRule="exact"/>
      </w:pPr>
    </w:p>
    <w:tbl>
      <w:tblPr>
        <w:tblStyle w:val="11"/>
        <w:tblW w:w="139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2039"/>
        <w:gridCol w:w="1814"/>
        <w:gridCol w:w="1350"/>
        <w:gridCol w:w="2324"/>
        <w:gridCol w:w="1784"/>
        <w:gridCol w:w="2166"/>
        <w:gridCol w:w="17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56" w:hRule="atLeast"/>
        </w:trPr>
        <w:tc>
          <w:tcPr>
            <w:tcW w:w="752" w:type="dxa"/>
            <w:vAlign w:val="top"/>
          </w:tcPr>
          <w:p>
            <w:pPr>
              <w:spacing w:line="412" w:lineRule="auto"/>
              <w:rPr>
                <w:rFonts w:ascii="Arial"/>
                <w:sz w:val="21"/>
              </w:rPr>
            </w:pPr>
          </w:p>
          <w:p>
            <w:pPr>
              <w:spacing w:before="102" w:line="184" w:lineRule="auto"/>
              <w:ind w:left="134"/>
              <w:rPr>
                <w:rFonts w:ascii="微软雅黑" w:hAnsi="微软雅黑" w:eastAsia="微软雅黑" w:cs="微软雅黑"/>
                <w:sz w:val="24"/>
                <w:szCs w:val="24"/>
              </w:rPr>
            </w:pPr>
            <w:r>
              <w:rPr>
                <w:rFonts w:ascii="微软雅黑" w:hAnsi="微软雅黑" w:eastAsia="微软雅黑" w:cs="微软雅黑"/>
                <w:spacing w:val="-1"/>
                <w:sz w:val="24"/>
                <w:szCs w:val="24"/>
              </w:rPr>
              <w:t>序号</w:t>
            </w:r>
          </w:p>
        </w:tc>
        <w:tc>
          <w:tcPr>
            <w:tcW w:w="2039" w:type="dxa"/>
            <w:vAlign w:val="top"/>
          </w:tcPr>
          <w:p>
            <w:pPr>
              <w:spacing w:before="207" w:line="624" w:lineRule="exact"/>
              <w:ind w:left="178"/>
              <w:rPr>
                <w:rFonts w:ascii="微软雅黑" w:hAnsi="微软雅黑" w:eastAsia="微软雅黑" w:cs="微软雅黑"/>
                <w:sz w:val="24"/>
                <w:szCs w:val="24"/>
              </w:rPr>
            </w:pPr>
            <w:r>
              <w:rPr>
                <w:rFonts w:ascii="微软雅黑" w:hAnsi="微软雅黑" w:eastAsia="微软雅黑" w:cs="微软雅黑"/>
                <w:spacing w:val="-1"/>
                <w:position w:val="30"/>
                <w:sz w:val="24"/>
                <w:szCs w:val="24"/>
              </w:rPr>
              <w:t>行政处罚决定书</w:t>
            </w:r>
          </w:p>
          <w:p>
            <w:pPr>
              <w:spacing w:before="1" w:line="182" w:lineRule="auto"/>
              <w:ind w:left="779"/>
              <w:rPr>
                <w:rFonts w:ascii="微软雅黑" w:hAnsi="微软雅黑" w:eastAsia="微软雅黑" w:cs="微软雅黑"/>
                <w:sz w:val="24"/>
                <w:szCs w:val="24"/>
              </w:rPr>
            </w:pPr>
            <w:r>
              <w:rPr>
                <w:rFonts w:ascii="微软雅黑" w:hAnsi="微软雅黑" w:eastAsia="微软雅黑" w:cs="微软雅黑"/>
                <w:spacing w:val="-3"/>
                <w:sz w:val="24"/>
                <w:szCs w:val="24"/>
              </w:rPr>
              <w:t>文号</w:t>
            </w:r>
          </w:p>
        </w:tc>
        <w:tc>
          <w:tcPr>
            <w:tcW w:w="1814" w:type="dxa"/>
            <w:vAlign w:val="top"/>
          </w:tcPr>
          <w:p>
            <w:pPr>
              <w:spacing w:before="207" w:line="624" w:lineRule="exact"/>
              <w:ind w:left="186"/>
              <w:rPr>
                <w:rFonts w:ascii="微软雅黑" w:hAnsi="微软雅黑" w:eastAsia="微软雅黑" w:cs="微软雅黑"/>
                <w:sz w:val="24"/>
                <w:szCs w:val="24"/>
              </w:rPr>
            </w:pPr>
            <w:r>
              <w:rPr>
                <w:rFonts w:ascii="微软雅黑" w:hAnsi="微软雅黑" w:eastAsia="微软雅黑" w:cs="微软雅黑"/>
                <w:spacing w:val="-1"/>
                <w:position w:val="30"/>
                <w:sz w:val="24"/>
                <w:szCs w:val="24"/>
              </w:rPr>
              <w:t>行政相对人名</w:t>
            </w:r>
          </w:p>
          <w:p>
            <w:pPr>
              <w:spacing w:before="1" w:line="182" w:lineRule="auto"/>
              <w:ind w:left="786"/>
              <w:rPr>
                <w:rFonts w:ascii="微软雅黑" w:hAnsi="微软雅黑" w:eastAsia="微软雅黑" w:cs="微软雅黑"/>
                <w:sz w:val="24"/>
                <w:szCs w:val="24"/>
              </w:rPr>
            </w:pPr>
            <w:r>
              <w:rPr>
                <w:rFonts w:ascii="微软雅黑" w:hAnsi="微软雅黑" w:eastAsia="微软雅黑" w:cs="微软雅黑"/>
                <w:sz w:val="24"/>
                <w:szCs w:val="24"/>
              </w:rPr>
              <w:t>称</w:t>
            </w:r>
          </w:p>
        </w:tc>
        <w:tc>
          <w:tcPr>
            <w:tcW w:w="1350" w:type="dxa"/>
            <w:vAlign w:val="top"/>
          </w:tcPr>
          <w:p>
            <w:pPr>
              <w:spacing w:before="207" w:line="624" w:lineRule="exact"/>
              <w:ind w:left="194"/>
              <w:rPr>
                <w:rFonts w:ascii="微软雅黑" w:hAnsi="微软雅黑" w:eastAsia="微软雅黑" w:cs="微软雅黑"/>
                <w:sz w:val="24"/>
                <w:szCs w:val="24"/>
              </w:rPr>
            </w:pPr>
            <w:r>
              <w:rPr>
                <w:rFonts w:ascii="微软雅黑" w:hAnsi="微软雅黑" w:eastAsia="微软雅黑" w:cs="微软雅黑"/>
                <w:spacing w:val="-1"/>
                <w:position w:val="30"/>
                <w:sz w:val="24"/>
                <w:szCs w:val="24"/>
              </w:rPr>
              <w:t>行政执法</w:t>
            </w:r>
          </w:p>
          <w:p>
            <w:pPr>
              <w:spacing w:before="1" w:line="182" w:lineRule="auto"/>
              <w:ind w:left="195"/>
              <w:rPr>
                <w:rFonts w:ascii="微软雅黑" w:hAnsi="微软雅黑" w:eastAsia="微软雅黑" w:cs="微软雅黑"/>
                <w:sz w:val="24"/>
                <w:szCs w:val="24"/>
              </w:rPr>
            </w:pPr>
            <w:r>
              <w:rPr>
                <w:rFonts w:ascii="微软雅黑" w:hAnsi="微软雅黑" w:eastAsia="微软雅黑" w:cs="微软雅黑"/>
                <w:spacing w:val="-2"/>
                <w:sz w:val="24"/>
                <w:szCs w:val="24"/>
              </w:rPr>
              <w:t>事项名称</w:t>
            </w:r>
          </w:p>
        </w:tc>
        <w:tc>
          <w:tcPr>
            <w:tcW w:w="2324" w:type="dxa"/>
            <w:vAlign w:val="top"/>
          </w:tcPr>
          <w:p>
            <w:pPr>
              <w:spacing w:line="413" w:lineRule="auto"/>
              <w:rPr>
                <w:rFonts w:ascii="Arial"/>
                <w:sz w:val="21"/>
              </w:rPr>
            </w:pPr>
          </w:p>
          <w:p>
            <w:pPr>
              <w:spacing w:before="103" w:line="183" w:lineRule="auto"/>
              <w:ind w:left="202"/>
              <w:rPr>
                <w:rFonts w:ascii="微软雅黑" w:hAnsi="微软雅黑" w:eastAsia="微软雅黑" w:cs="微软雅黑"/>
                <w:sz w:val="24"/>
                <w:szCs w:val="24"/>
              </w:rPr>
            </w:pPr>
            <w:r>
              <w:rPr>
                <w:rFonts w:ascii="微软雅黑" w:hAnsi="微软雅黑" w:eastAsia="微软雅黑" w:cs="微软雅黑"/>
                <w:spacing w:val="-1"/>
                <w:sz w:val="24"/>
                <w:szCs w:val="24"/>
              </w:rPr>
              <w:t>行政执法主要事实</w:t>
            </w:r>
          </w:p>
        </w:tc>
        <w:tc>
          <w:tcPr>
            <w:tcW w:w="1784" w:type="dxa"/>
            <w:vAlign w:val="top"/>
          </w:tcPr>
          <w:p>
            <w:pPr>
              <w:spacing w:line="413" w:lineRule="auto"/>
              <w:rPr>
                <w:rFonts w:ascii="Arial"/>
                <w:sz w:val="21"/>
              </w:rPr>
            </w:pPr>
          </w:p>
          <w:p>
            <w:pPr>
              <w:spacing w:before="103" w:line="183" w:lineRule="auto"/>
              <w:ind w:left="173"/>
              <w:rPr>
                <w:rFonts w:ascii="微软雅黑" w:hAnsi="微软雅黑" w:eastAsia="微软雅黑" w:cs="微软雅黑"/>
                <w:sz w:val="24"/>
                <w:szCs w:val="24"/>
              </w:rPr>
            </w:pPr>
            <w:r>
              <w:rPr>
                <w:rFonts w:ascii="微软雅黑" w:hAnsi="微软雅黑" w:eastAsia="微软雅黑" w:cs="微软雅黑"/>
                <w:spacing w:val="-1"/>
                <w:sz w:val="24"/>
                <w:szCs w:val="24"/>
              </w:rPr>
              <w:t>行政执法依据</w:t>
            </w:r>
          </w:p>
        </w:tc>
        <w:tc>
          <w:tcPr>
            <w:tcW w:w="2166" w:type="dxa"/>
            <w:vAlign w:val="top"/>
          </w:tcPr>
          <w:p>
            <w:pPr>
              <w:spacing w:before="207" w:line="624" w:lineRule="exact"/>
              <w:ind w:left="123"/>
              <w:rPr>
                <w:rFonts w:ascii="微软雅黑" w:hAnsi="微软雅黑" w:eastAsia="微软雅黑" w:cs="微软雅黑"/>
                <w:sz w:val="24"/>
                <w:szCs w:val="24"/>
              </w:rPr>
            </w:pPr>
            <w:r>
              <w:rPr>
                <w:rFonts w:ascii="微软雅黑" w:hAnsi="微软雅黑" w:eastAsia="微软雅黑" w:cs="微软雅黑"/>
                <w:spacing w:val="-1"/>
                <w:position w:val="30"/>
                <w:sz w:val="24"/>
                <w:szCs w:val="24"/>
              </w:rPr>
              <w:t>作出行政执法决定</w:t>
            </w:r>
          </w:p>
          <w:p>
            <w:pPr>
              <w:spacing w:before="1" w:line="182" w:lineRule="auto"/>
              <w:ind w:left="254"/>
              <w:rPr>
                <w:rFonts w:ascii="微软雅黑" w:hAnsi="微软雅黑" w:eastAsia="微软雅黑" w:cs="微软雅黑"/>
                <w:sz w:val="24"/>
                <w:szCs w:val="24"/>
              </w:rPr>
            </w:pPr>
            <w:r>
              <w:rPr>
                <w:rFonts w:ascii="微软雅黑" w:hAnsi="微软雅黑" w:eastAsia="微软雅黑" w:cs="微软雅黑"/>
                <w:spacing w:val="-2"/>
                <w:sz w:val="24"/>
                <w:szCs w:val="24"/>
              </w:rPr>
              <w:t>的行政机关名称</w:t>
            </w:r>
          </w:p>
        </w:tc>
        <w:tc>
          <w:tcPr>
            <w:tcW w:w="1751" w:type="dxa"/>
            <w:vAlign w:val="top"/>
          </w:tcPr>
          <w:p>
            <w:pPr>
              <w:spacing w:before="207" w:line="624" w:lineRule="exact"/>
              <w:ind w:left="155"/>
              <w:rPr>
                <w:rFonts w:ascii="微软雅黑" w:hAnsi="微软雅黑" w:eastAsia="微软雅黑" w:cs="微软雅黑"/>
                <w:sz w:val="24"/>
                <w:szCs w:val="24"/>
              </w:rPr>
            </w:pPr>
            <w:r>
              <w:rPr>
                <w:rFonts w:ascii="微软雅黑" w:hAnsi="微软雅黑" w:eastAsia="微软雅黑" w:cs="微软雅黑"/>
                <w:spacing w:val="-1"/>
                <w:position w:val="30"/>
                <w:sz w:val="24"/>
                <w:szCs w:val="24"/>
              </w:rPr>
              <w:t>作出行政执法</w:t>
            </w:r>
          </w:p>
          <w:p>
            <w:pPr>
              <w:spacing w:before="1" w:line="182" w:lineRule="auto"/>
              <w:ind w:left="277"/>
              <w:rPr>
                <w:rFonts w:ascii="微软雅黑" w:hAnsi="微软雅黑" w:eastAsia="微软雅黑" w:cs="微软雅黑"/>
                <w:sz w:val="24"/>
                <w:szCs w:val="24"/>
              </w:rPr>
            </w:pPr>
            <w:r>
              <w:rPr>
                <w:rFonts w:ascii="微软雅黑" w:hAnsi="微软雅黑" w:eastAsia="微软雅黑" w:cs="微软雅黑"/>
                <w:spacing w:val="-1"/>
                <w:sz w:val="24"/>
                <w:szCs w:val="24"/>
              </w:rPr>
              <w:t>决定的日期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53" w:hRule="atLeast"/>
        </w:trPr>
        <w:tc>
          <w:tcPr>
            <w:tcW w:w="752"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before="72" w:line="184" w:lineRule="auto"/>
              <w:ind w:left="342"/>
              <w:rPr>
                <w:rFonts w:ascii="宋体" w:hAnsi="宋体" w:eastAsia="宋体" w:cs="宋体"/>
                <w:sz w:val="22"/>
                <w:szCs w:val="22"/>
              </w:rPr>
            </w:pPr>
            <w:r>
              <w:rPr>
                <w:rFonts w:ascii="宋体" w:hAnsi="宋体" w:eastAsia="宋体" w:cs="宋体"/>
                <w:sz w:val="22"/>
                <w:szCs w:val="22"/>
              </w:rPr>
              <w:t>1</w:t>
            </w:r>
          </w:p>
        </w:tc>
        <w:tc>
          <w:tcPr>
            <w:tcW w:w="2039" w:type="dxa"/>
            <w:vAlign w:val="top"/>
          </w:tcPr>
          <w:p>
            <w:pPr>
              <w:pStyle w:val="12"/>
              <w:spacing w:before="271" w:line="223" w:lineRule="auto"/>
              <w:ind w:left="436"/>
              <w:rPr>
                <w:rFonts w:hint="eastAsia" w:ascii="仿宋" w:hAnsi="仿宋" w:eastAsia="仿宋" w:cs="仿宋"/>
                <w:sz w:val="21"/>
                <w:szCs w:val="21"/>
              </w:rPr>
            </w:pPr>
            <w:r>
              <w:rPr>
                <w:rFonts w:hint="eastAsia" w:ascii="仿宋" w:hAnsi="仿宋" w:eastAsia="仿宋" w:cs="仿宋"/>
                <w:spacing w:val="-5"/>
                <w:sz w:val="21"/>
                <w:szCs w:val="21"/>
              </w:rPr>
              <w:t>东建罚决字</w:t>
            </w:r>
          </w:p>
          <w:p>
            <w:pPr>
              <w:pStyle w:val="12"/>
              <w:spacing w:before="22" w:line="222" w:lineRule="auto"/>
              <w:ind w:left="220" w:leftChars="0"/>
              <w:jc w:val="center"/>
              <w:rPr>
                <w:rFonts w:hint="eastAsia" w:ascii="仿宋" w:hAnsi="仿宋" w:eastAsia="仿宋" w:cs="仿宋"/>
                <w:snapToGrid w:val="0"/>
                <w:color w:val="000000"/>
                <w:spacing w:val="-6"/>
                <w:kern w:val="0"/>
                <w:sz w:val="21"/>
                <w:szCs w:val="21"/>
                <w:lang w:val="en-US" w:eastAsia="en-US" w:bidi="ar-SA"/>
              </w:rPr>
            </w:pPr>
            <w:r>
              <w:rPr>
                <w:rFonts w:hint="eastAsia" w:ascii="仿宋" w:hAnsi="仿宋" w:eastAsia="仿宋" w:cs="仿宋"/>
                <w:spacing w:val="-6"/>
                <w:sz w:val="21"/>
                <w:szCs w:val="21"/>
              </w:rPr>
              <w:t>[202</w:t>
            </w:r>
            <w:r>
              <w:rPr>
                <w:rFonts w:hint="eastAsia" w:ascii="仿宋" w:hAnsi="仿宋" w:eastAsia="仿宋" w:cs="仿宋"/>
                <w:spacing w:val="-6"/>
                <w:sz w:val="21"/>
                <w:szCs w:val="21"/>
                <w:lang w:val="en-US" w:eastAsia="zh-CN"/>
              </w:rPr>
              <w:t>6</w:t>
            </w:r>
            <w:r>
              <w:rPr>
                <w:rFonts w:hint="eastAsia" w:ascii="仿宋" w:hAnsi="仿宋" w:eastAsia="仿宋" w:cs="仿宋"/>
                <w:spacing w:val="-6"/>
                <w:sz w:val="21"/>
                <w:szCs w:val="21"/>
              </w:rPr>
              <w:t>]</w:t>
            </w:r>
          </w:p>
        </w:tc>
        <w:tc>
          <w:tcPr>
            <w:tcW w:w="1814" w:type="dxa"/>
            <w:vAlign w:val="top"/>
          </w:tcPr>
          <w:p>
            <w:pPr>
              <w:pStyle w:val="12"/>
              <w:spacing w:before="271" w:line="231" w:lineRule="auto"/>
              <w:ind w:left="435" w:leftChars="0" w:right="186" w:rightChars="0" w:hanging="231" w:firstLineChars="0"/>
              <w:jc w:val="left"/>
              <w:rPr>
                <w:rFonts w:hint="eastAsia" w:ascii="仿宋" w:hAnsi="仿宋" w:eastAsia="仿宋" w:cs="仿宋"/>
                <w:snapToGrid w:val="0"/>
                <w:color w:val="000000"/>
                <w:spacing w:val="-4"/>
                <w:kern w:val="0"/>
                <w:sz w:val="21"/>
                <w:szCs w:val="21"/>
                <w:lang w:val="en-US" w:eastAsia="en-US" w:bidi="ar-SA"/>
              </w:rPr>
            </w:pPr>
            <w:r>
              <w:rPr>
                <w:rFonts w:hint="eastAsia" w:ascii="仿宋" w:hAnsi="仿宋" w:eastAsia="仿宋" w:cs="仿宋"/>
                <w:sz w:val="21"/>
                <w:szCs w:val="21"/>
                <w:lang w:val="en-US" w:eastAsia="zh-CN"/>
              </w:rPr>
              <w:t>山东一山建工集团有限公司</w:t>
            </w:r>
          </w:p>
        </w:tc>
        <w:tc>
          <w:tcPr>
            <w:tcW w:w="1350" w:type="dxa"/>
            <w:vAlign w:val="top"/>
          </w:tcPr>
          <w:p>
            <w:pPr>
              <w:pStyle w:val="12"/>
              <w:spacing w:before="78" w:line="221" w:lineRule="auto"/>
              <w:ind w:left="208"/>
              <w:rPr>
                <w:rFonts w:hint="eastAsia" w:ascii="仿宋" w:hAnsi="仿宋" w:eastAsia="仿宋" w:cs="仿宋"/>
                <w:spacing w:val="-5"/>
                <w:sz w:val="21"/>
                <w:szCs w:val="21"/>
              </w:rPr>
            </w:pPr>
          </w:p>
          <w:p>
            <w:pPr>
              <w:pStyle w:val="12"/>
              <w:spacing w:before="78" w:line="221" w:lineRule="auto"/>
              <w:ind w:left="208" w:leftChars="0" w:firstLine="200" w:firstLineChars="100"/>
              <w:rPr>
                <w:rFonts w:hint="eastAsia" w:ascii="仿宋" w:hAnsi="仿宋" w:eastAsia="仿宋" w:cs="仿宋"/>
                <w:snapToGrid w:val="0"/>
                <w:color w:val="000000"/>
                <w:spacing w:val="-5"/>
                <w:kern w:val="0"/>
                <w:sz w:val="21"/>
                <w:szCs w:val="21"/>
                <w:lang w:val="en-US" w:eastAsia="zh-CN" w:bidi="ar-SA"/>
              </w:rPr>
            </w:pPr>
            <w:r>
              <w:rPr>
                <w:rFonts w:hint="eastAsia" w:ascii="仿宋" w:hAnsi="仿宋" w:eastAsia="仿宋" w:cs="仿宋"/>
                <w:spacing w:val="-5"/>
                <w:sz w:val="21"/>
                <w:szCs w:val="21"/>
                <w:lang w:val="en-US" w:eastAsia="zh-CN"/>
              </w:rPr>
              <w:t>罚款</w:t>
            </w:r>
          </w:p>
        </w:tc>
        <w:tc>
          <w:tcPr>
            <w:tcW w:w="2324" w:type="dxa"/>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eastAsia" w:ascii="仿宋" w:hAnsi="仿宋" w:eastAsia="仿宋" w:cs="仿宋"/>
                <w:i w:val="0"/>
                <w:iCs w:val="0"/>
                <w:caps w:val="0"/>
                <w:color w:val="auto"/>
                <w:spacing w:val="0"/>
                <w:sz w:val="21"/>
                <w:szCs w:val="21"/>
              </w:rPr>
            </w:pPr>
            <w:r>
              <w:rPr>
                <w:rFonts w:hint="eastAsia" w:ascii="仿宋" w:hAnsi="仿宋" w:eastAsia="仿宋" w:cs="仿宋"/>
                <w:sz w:val="21"/>
                <w:szCs w:val="21"/>
                <w:lang w:val="en-US" w:eastAsia="zh-CN"/>
              </w:rPr>
              <w:t>山东一山建工集团有限公司</w:t>
            </w:r>
            <w:r>
              <w:rPr>
                <w:rFonts w:hint="eastAsia" w:ascii="仿宋" w:hAnsi="仿宋" w:eastAsia="仿宋" w:cs="仿宋"/>
                <w:b w:val="0"/>
                <w:bCs/>
                <w:sz w:val="21"/>
                <w:szCs w:val="21"/>
                <w:u w:val="none"/>
                <w:lang w:val="en-US" w:eastAsia="zh-CN"/>
              </w:rPr>
              <w:t>承建项目外墙保温工作从业人员未按照规定进行安全生产教育和培训、未如实记录安全教育和培训、安全生产管理人员未履行安全生产管理职责的情况</w:t>
            </w:r>
            <w:r>
              <w:rPr>
                <w:rFonts w:hint="eastAsia" w:ascii="仿宋" w:hAnsi="仿宋" w:eastAsia="仿宋" w:cs="仿宋"/>
                <w:color w:val="auto"/>
                <w:sz w:val="21"/>
                <w:szCs w:val="21"/>
                <w:u w:val="none"/>
                <w:lang w:eastAsia="zh-CN"/>
              </w:rPr>
              <w:t>、</w:t>
            </w:r>
            <w:r>
              <w:rPr>
                <w:rFonts w:hint="eastAsia" w:ascii="仿宋" w:hAnsi="仿宋" w:eastAsia="仿宋" w:cs="仿宋"/>
                <w:i w:val="0"/>
                <w:iCs w:val="0"/>
                <w:caps w:val="0"/>
                <w:color w:val="auto"/>
                <w:spacing w:val="0"/>
                <w:sz w:val="21"/>
                <w:szCs w:val="21"/>
                <w:shd w:val="clear" w:fill="FFFFFF"/>
              </w:rPr>
              <w:t>迟报或者漏报生产安全事故的</w:t>
            </w:r>
            <w:r>
              <w:rPr>
                <w:rFonts w:hint="eastAsia" w:ascii="仿宋" w:hAnsi="仿宋" w:eastAsia="仿宋" w:cs="仿宋"/>
                <w:b w:val="0"/>
                <w:bCs/>
                <w:color w:val="auto"/>
                <w:sz w:val="21"/>
                <w:szCs w:val="21"/>
                <w:u w:val="none"/>
                <w:lang w:val="en-US" w:eastAsia="zh-CN"/>
              </w:rPr>
              <w:t>情况，违反了</w:t>
            </w:r>
            <w:r>
              <w:rPr>
                <w:rFonts w:hint="eastAsia" w:ascii="仿宋" w:hAnsi="仿宋" w:eastAsia="仿宋" w:cs="仿宋"/>
                <w:color w:val="auto"/>
                <w:sz w:val="21"/>
                <w:szCs w:val="21"/>
                <w:u w:val="none"/>
                <w:lang w:eastAsia="zh-CN"/>
              </w:rPr>
              <w:t>《中华人民共和国安全生产法》第九十七条第三款、第四款的规定。</w:t>
            </w:r>
            <w:r>
              <w:rPr>
                <w:rFonts w:hint="eastAsia" w:ascii="仿宋" w:hAnsi="仿宋" w:eastAsia="仿宋" w:cs="仿宋"/>
                <w:b w:val="0"/>
                <w:bCs/>
                <w:color w:val="auto"/>
                <w:sz w:val="21"/>
                <w:szCs w:val="21"/>
                <w:u w:val="none"/>
                <w:lang w:val="en-US" w:eastAsia="zh-CN"/>
              </w:rPr>
              <w:t>违反了《</w:t>
            </w:r>
            <w:r>
              <w:rPr>
                <w:rFonts w:hint="eastAsia" w:ascii="仿宋" w:hAnsi="仿宋" w:eastAsia="仿宋" w:cs="仿宋"/>
                <w:b w:val="0"/>
                <w:bCs/>
                <w:i w:val="0"/>
                <w:iCs w:val="0"/>
                <w:caps w:val="0"/>
                <w:color w:val="auto"/>
                <w:spacing w:val="0"/>
                <w:sz w:val="21"/>
                <w:szCs w:val="21"/>
                <w:shd w:val="clear" w:fill="FFFFFF"/>
              </w:rPr>
              <w:t>山东省生产安全事故应急办法</w:t>
            </w:r>
            <w:r>
              <w:rPr>
                <w:rFonts w:hint="eastAsia" w:ascii="仿宋" w:hAnsi="仿宋" w:eastAsia="仿宋" w:cs="仿宋"/>
                <w:b w:val="0"/>
                <w:bCs/>
                <w:i w:val="0"/>
                <w:iCs w:val="0"/>
                <w:caps w:val="0"/>
                <w:color w:val="auto"/>
                <w:spacing w:val="0"/>
                <w:sz w:val="21"/>
                <w:szCs w:val="21"/>
                <w:shd w:val="clear" w:fill="FFFFFF"/>
                <w:lang w:eastAsia="zh-CN"/>
              </w:rPr>
              <w:t>》</w:t>
            </w:r>
            <w:r>
              <w:rPr>
                <w:rFonts w:hint="eastAsia" w:ascii="仿宋" w:hAnsi="仿宋" w:eastAsia="仿宋" w:cs="仿宋"/>
                <w:b w:val="0"/>
                <w:bCs/>
                <w:i w:val="0"/>
                <w:iCs w:val="0"/>
                <w:caps w:val="0"/>
                <w:color w:val="auto"/>
                <w:spacing w:val="0"/>
                <w:sz w:val="21"/>
                <w:szCs w:val="21"/>
                <w:shd w:val="clear" w:fill="FFFFFF"/>
              </w:rPr>
              <w:t>第三十五条</w:t>
            </w:r>
            <w:r>
              <w:rPr>
                <w:rFonts w:hint="eastAsia" w:ascii="仿宋" w:hAnsi="仿宋" w:eastAsia="仿宋" w:cs="仿宋"/>
                <w:b w:val="0"/>
                <w:bCs/>
                <w:i w:val="0"/>
                <w:iCs w:val="0"/>
                <w:caps w:val="0"/>
                <w:color w:val="auto"/>
                <w:spacing w:val="0"/>
                <w:sz w:val="21"/>
                <w:szCs w:val="21"/>
                <w:shd w:val="clear" w:fill="FFFFFF"/>
                <w:lang w:val="en-US" w:eastAsia="zh-CN"/>
              </w:rPr>
              <w:t>的规定。</w:t>
            </w:r>
          </w:p>
          <w:p>
            <w:pPr>
              <w:pStyle w:val="12"/>
              <w:spacing w:before="78" w:line="230" w:lineRule="auto"/>
              <w:ind w:left="290" w:leftChars="0" w:right="7" w:rightChars="0" w:hanging="25" w:firstLineChars="0"/>
              <w:rPr>
                <w:rFonts w:hint="eastAsia" w:ascii="仿宋" w:hAnsi="仿宋" w:eastAsia="仿宋" w:cs="仿宋"/>
                <w:snapToGrid w:val="0"/>
                <w:color w:val="000000"/>
                <w:spacing w:val="-11"/>
                <w:kern w:val="0"/>
                <w:sz w:val="21"/>
                <w:szCs w:val="21"/>
                <w:lang w:val="en-US" w:eastAsia="en-US" w:bidi="ar-SA"/>
              </w:rPr>
            </w:pPr>
          </w:p>
        </w:tc>
        <w:tc>
          <w:tcPr>
            <w:tcW w:w="1784" w:type="dxa"/>
            <w:vAlign w:val="top"/>
          </w:tcPr>
          <w:p>
            <w:pPr>
              <w:pStyle w:val="12"/>
              <w:spacing w:before="115" w:line="234" w:lineRule="auto"/>
              <w:ind w:left="119" w:leftChars="0" w:right="104" w:rightChars="0" w:firstLine="1" w:firstLineChars="0"/>
              <w:jc w:val="both"/>
              <w:rPr>
                <w:rFonts w:hint="eastAsia" w:ascii="仿宋" w:hAnsi="仿宋" w:eastAsia="仿宋" w:cs="仿宋"/>
                <w:color w:val="auto"/>
                <w:sz w:val="21"/>
                <w:szCs w:val="21"/>
                <w:u w:val="none"/>
                <w:lang w:eastAsia="zh-CN"/>
              </w:rPr>
            </w:pPr>
            <w:r>
              <w:rPr>
                <w:rFonts w:hint="eastAsia" w:ascii="仿宋" w:hAnsi="仿宋" w:eastAsia="仿宋" w:cs="仿宋"/>
                <w:color w:val="auto"/>
                <w:sz w:val="21"/>
                <w:szCs w:val="21"/>
                <w:u w:val="none"/>
                <w:lang w:eastAsia="zh-CN"/>
              </w:rPr>
              <w:t>《中华人民共和国安全生产法》</w:t>
            </w:r>
          </w:p>
          <w:p>
            <w:pPr>
              <w:pStyle w:val="12"/>
              <w:spacing w:before="115" w:line="234" w:lineRule="auto"/>
              <w:ind w:left="119" w:leftChars="0" w:right="104" w:rightChars="0" w:firstLine="1" w:firstLineChars="0"/>
              <w:jc w:val="both"/>
              <w:rPr>
                <w:rFonts w:hint="eastAsia" w:ascii="仿宋" w:hAnsi="仿宋" w:eastAsia="仿宋" w:cs="仿宋"/>
                <w:color w:val="auto"/>
                <w:sz w:val="21"/>
                <w:szCs w:val="21"/>
                <w:u w:val="none"/>
                <w:lang w:val="en-US" w:eastAsia="en-US"/>
              </w:rPr>
            </w:pPr>
            <w:r>
              <w:rPr>
                <w:rFonts w:hint="eastAsia" w:ascii="仿宋" w:hAnsi="仿宋" w:eastAsia="仿宋" w:cs="仿宋"/>
                <w:b w:val="0"/>
                <w:bCs/>
                <w:color w:val="auto"/>
                <w:sz w:val="21"/>
                <w:szCs w:val="21"/>
                <w:u w:val="none"/>
                <w:lang w:val="en-US" w:eastAsia="zh-CN"/>
              </w:rPr>
              <w:t>《</w:t>
            </w:r>
            <w:r>
              <w:rPr>
                <w:rFonts w:hint="eastAsia" w:ascii="仿宋" w:hAnsi="仿宋" w:eastAsia="仿宋" w:cs="仿宋"/>
                <w:b w:val="0"/>
                <w:bCs/>
                <w:i w:val="0"/>
                <w:iCs w:val="0"/>
                <w:caps w:val="0"/>
                <w:color w:val="auto"/>
                <w:spacing w:val="0"/>
                <w:sz w:val="21"/>
                <w:szCs w:val="21"/>
                <w:shd w:val="clear" w:fill="FFFFFF"/>
              </w:rPr>
              <w:t>山东省生产安全事故应急办法</w:t>
            </w:r>
            <w:r>
              <w:rPr>
                <w:rFonts w:hint="eastAsia" w:ascii="仿宋" w:hAnsi="仿宋" w:eastAsia="仿宋" w:cs="仿宋"/>
                <w:b w:val="0"/>
                <w:bCs/>
                <w:i w:val="0"/>
                <w:iCs w:val="0"/>
                <w:caps w:val="0"/>
                <w:color w:val="auto"/>
                <w:spacing w:val="0"/>
                <w:sz w:val="21"/>
                <w:szCs w:val="21"/>
                <w:shd w:val="clear" w:fill="FFFFFF"/>
                <w:lang w:eastAsia="zh-CN"/>
              </w:rPr>
              <w:t>》</w:t>
            </w:r>
          </w:p>
        </w:tc>
        <w:tc>
          <w:tcPr>
            <w:tcW w:w="2166" w:type="dxa"/>
            <w:vAlign w:val="top"/>
          </w:tcPr>
          <w:p>
            <w:pPr>
              <w:pStyle w:val="12"/>
              <w:spacing w:before="78" w:line="222" w:lineRule="auto"/>
              <w:ind w:left="382"/>
              <w:rPr>
                <w:rFonts w:hint="eastAsia" w:ascii="仿宋" w:hAnsi="仿宋" w:eastAsia="仿宋" w:cs="仿宋"/>
                <w:spacing w:val="-4"/>
                <w:sz w:val="21"/>
                <w:szCs w:val="21"/>
              </w:rPr>
            </w:pPr>
          </w:p>
          <w:p>
            <w:pPr>
              <w:pStyle w:val="12"/>
              <w:spacing w:before="78" w:line="222" w:lineRule="auto"/>
              <w:ind w:left="382" w:leftChars="0"/>
              <w:rPr>
                <w:rFonts w:hint="eastAsia" w:ascii="仿宋" w:hAnsi="仿宋" w:eastAsia="仿宋" w:cs="仿宋"/>
                <w:snapToGrid w:val="0"/>
                <w:color w:val="000000"/>
                <w:spacing w:val="-4"/>
                <w:kern w:val="0"/>
                <w:sz w:val="21"/>
                <w:szCs w:val="21"/>
                <w:lang w:val="en-US" w:eastAsia="en-US" w:bidi="ar-SA"/>
              </w:rPr>
            </w:pPr>
            <w:r>
              <w:rPr>
                <w:rFonts w:hint="eastAsia" w:ascii="仿宋" w:hAnsi="仿宋" w:eastAsia="仿宋" w:cs="仿宋"/>
                <w:spacing w:val="-4"/>
                <w:sz w:val="21"/>
                <w:szCs w:val="21"/>
              </w:rPr>
              <w:t>东明县住建局</w:t>
            </w:r>
          </w:p>
        </w:tc>
        <w:tc>
          <w:tcPr>
            <w:tcW w:w="1751" w:type="dxa"/>
            <w:vAlign w:val="top"/>
          </w:tcPr>
          <w:p>
            <w:pPr>
              <w:pStyle w:val="12"/>
              <w:spacing w:before="160" w:line="181" w:lineRule="auto"/>
              <w:ind w:left="284"/>
              <w:rPr>
                <w:rFonts w:hint="eastAsia" w:ascii="仿宋" w:hAnsi="仿宋" w:eastAsia="仿宋" w:cs="仿宋"/>
                <w:spacing w:val="-2"/>
                <w:sz w:val="21"/>
                <w:szCs w:val="21"/>
              </w:rPr>
            </w:pPr>
          </w:p>
          <w:p>
            <w:pPr>
              <w:pStyle w:val="12"/>
              <w:spacing w:before="160" w:line="181" w:lineRule="auto"/>
              <w:ind w:left="284" w:leftChars="0"/>
              <w:rPr>
                <w:rFonts w:hint="eastAsia" w:ascii="仿宋" w:hAnsi="仿宋" w:eastAsia="仿宋" w:cs="仿宋"/>
                <w:snapToGrid w:val="0"/>
                <w:color w:val="000000"/>
                <w:spacing w:val="-2"/>
                <w:kern w:val="0"/>
                <w:sz w:val="21"/>
                <w:szCs w:val="21"/>
                <w:lang w:val="en-US" w:eastAsia="zh-CN" w:bidi="ar-SA"/>
              </w:rPr>
            </w:pPr>
            <w:r>
              <w:rPr>
                <w:rFonts w:hint="eastAsia" w:ascii="仿宋" w:hAnsi="仿宋" w:eastAsia="仿宋" w:cs="仿宋"/>
                <w:spacing w:val="-2"/>
                <w:sz w:val="21"/>
                <w:szCs w:val="21"/>
              </w:rPr>
              <w:t>202</w:t>
            </w:r>
            <w:r>
              <w:rPr>
                <w:rFonts w:hint="eastAsia" w:ascii="仿宋" w:hAnsi="仿宋" w:eastAsia="仿宋" w:cs="仿宋"/>
                <w:spacing w:val="-2"/>
                <w:sz w:val="21"/>
                <w:szCs w:val="21"/>
                <w:lang w:val="en-US" w:eastAsia="zh-CN"/>
              </w:rPr>
              <w:t>6.3</w:t>
            </w:r>
          </w:p>
        </w:tc>
      </w:tr>
    </w:tbl>
    <w:p>
      <w:pPr>
        <w:rPr>
          <w:rFonts w:ascii="Arial"/>
          <w:sz w:val="21"/>
        </w:rPr>
      </w:pPr>
    </w:p>
    <w:sectPr>
      <w:pgSz w:w="16839" w:h="11906"/>
      <w:pgMar w:top="1012" w:right="1432" w:bottom="0" w:left="142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docVars>
    <w:docVar w:name="commondata" w:val="eyJoZGlkIjoiMDQwODUzMjhhYjBlOWU5ZjVjNmYzMzBhNmYxMWU4NjYifQ=="/>
  </w:docVars>
  <w:rsids>
    <w:rsidRoot w:val="00000000"/>
    <w:rsid w:val="065F5473"/>
    <w:rsid w:val="0D3B4C0F"/>
    <w:rsid w:val="12CD61F2"/>
    <w:rsid w:val="12FE7280"/>
    <w:rsid w:val="2E202243"/>
    <w:rsid w:val="46BA4A8A"/>
    <w:rsid w:val="5DD36538"/>
    <w:rsid w:val="7AFD670F"/>
    <w:rsid w:val="7DE832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ind w:firstLine="420"/>
    </w:pPr>
    <w:rPr>
      <w:rFonts w:eastAsia="宋体"/>
      <w:sz w:val="21"/>
      <w:szCs w:val="20"/>
    </w:rPr>
  </w:style>
  <w:style w:type="paragraph" w:customStyle="1" w:styleId="5">
    <w:name w:val="Default"/>
    <w:basedOn w:val="6"/>
    <w:next w:val="7"/>
    <w:qFormat/>
    <w:uiPriority w:val="99"/>
    <w:pPr>
      <w:autoSpaceDE w:val="0"/>
      <w:autoSpaceDN w:val="0"/>
      <w:adjustRightInd w:val="0"/>
    </w:pPr>
    <w:rPr>
      <w:color w:val="000000"/>
      <w:sz w:val="24"/>
      <w:szCs w:val="24"/>
    </w:rPr>
  </w:style>
  <w:style w:type="paragraph" w:customStyle="1" w:styleId="6">
    <w:name w:val="正文 New"/>
    <w:next w:val="5"/>
    <w:qFormat/>
    <w:uiPriority w:val="0"/>
    <w:pPr>
      <w:widowControl w:val="0"/>
      <w:jc w:val="both"/>
    </w:pPr>
    <w:rPr>
      <w:rFonts w:ascii="Calibri" w:hAnsi="Calibri" w:eastAsia="宋体" w:cs="黑体"/>
      <w:kern w:val="2"/>
      <w:sz w:val="21"/>
      <w:szCs w:val="22"/>
      <w:lang w:val="en-US" w:eastAsia="zh-CN" w:bidi="ar-SA"/>
    </w:rPr>
  </w:style>
  <w:style w:type="paragraph" w:styleId="7">
    <w:name w:val="toc 8"/>
    <w:basedOn w:val="1"/>
    <w:next w:val="1"/>
    <w:unhideWhenUsed/>
    <w:qFormat/>
    <w:uiPriority w:val="39"/>
    <w:pPr>
      <w:ind w:left="2940" w:leftChars="14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1">
    <w:name w:val="Table Normal"/>
    <w:semiHidden/>
    <w:unhideWhenUsed/>
    <w:qFormat/>
    <w:uiPriority w:val="0"/>
    <w:tblPr>
      <w:tblLayout w:type="fixed"/>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233</Words>
  <Characters>247</Characters>
  <TotalTime>235</TotalTime>
  <ScaleCrop>false</ScaleCrop>
  <LinksUpToDate>false</LinksUpToDate>
  <CharactersWithSpaces>249</CharactersWithSpaces>
  <Application>WPS Office_11.1.0.8527_F1E327BC-269C-435d-A152-05C5408002CA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2024-01-15T14:20:00Z</dcterms:created>
  <dc:creator>user</dc:creator>
  <cp:lastModifiedBy>Administrator</cp:lastModifiedBy>
  <dcterms:modified xsi:type="dcterms:W3CDTF">2026-07-24T08:20:01Z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2024-05-07T15:05:34Z</vt:filetime>
  </property>
  <property fmtid="{D5CDD505-2E9C-101B-9397-08002B2CF9AE}" pid="4" name="KSOProductBuildVer">
    <vt:lpwstr>2052-11.1.0.8527</vt:lpwstr>
  </property>
  <property fmtid="{D5CDD505-2E9C-101B-9397-08002B2CF9AE}" pid="5" name="ICV">
    <vt:lpwstr>51F8683CADFA4685801AD727075AED71_13</vt:lpwstr>
  </property>
  <property fmtid="{D5CDD505-2E9C-101B-9397-08002B2CF9AE}" pid="6" name="KSOTemplateDocerSaveRecord">
    <vt:lpwstr>eyJoZGlkIjoiZTM3ZTkxOWVjZDQ2NjViNGZjMDNkMGY5ZDRiZWE0NmIiLCJ1c2VySWQiOiIzNTcxMzk3NjMifQ==</vt:lpwstr>
  </property>
</Properties>
</file>