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0"/>
        <w:gridCol w:w="93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4" w:hRule="atLeast"/>
        </w:trPr>
        <w:tc>
          <w:tcPr>
            <w:tcW w:w="690"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ascii="Arial" w:hAnsi="Arial" w:cs="Arial"/>
              </w:rPr>
            </w:pPr>
            <w:r>
              <w:rPr>
                <w:rFonts w:hint="default" w:ascii="Arial" w:hAnsi="Arial" w:eastAsia="仿宋" w:cs="Arial"/>
                <w:i w:val="0"/>
                <w:iCs w:val="0"/>
                <w:caps w:val="0"/>
                <w:color w:val="333333"/>
                <w:spacing w:val="0"/>
                <w:sz w:val="24"/>
                <w:szCs w:val="24"/>
              </w:rPr>
              <w:t>行政相对人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名称</w:t>
            </w:r>
          </w:p>
        </w:tc>
        <w:tc>
          <w:tcPr>
            <w:tcW w:w="9315"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rPr>
            </w:pPr>
            <w:r>
              <w:rPr>
                <w:rFonts w:hint="eastAsia" w:ascii="仿宋" w:hAnsi="仿宋" w:eastAsia="仿宋" w:cs="仿宋"/>
                <w:sz w:val="30"/>
                <w:szCs w:val="30"/>
                <w:lang w:val="en-US" w:eastAsia="zh-CN"/>
              </w:rPr>
              <w:t>东明县茂泽大药房有限公司旗舰店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4"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行政处罚决定书文号</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rPr>
            </w:pPr>
            <w:r>
              <w:rPr>
                <w:rFonts w:hint="eastAsia" w:ascii="仿宋" w:hAnsi="仿宋" w:eastAsia="仿宋" w:cs="仿宋"/>
                <w:i w:val="0"/>
                <w:iCs w:val="0"/>
                <w:caps w:val="0"/>
                <w:color w:val="000000"/>
                <w:spacing w:val="0"/>
                <w:sz w:val="30"/>
                <w:szCs w:val="30"/>
              </w:rPr>
              <w:t>东市监处罚〔2023〕</w:t>
            </w:r>
            <w:r>
              <w:rPr>
                <w:rFonts w:hint="eastAsia" w:ascii="仿宋" w:hAnsi="仿宋" w:eastAsia="仿宋" w:cs="仿宋"/>
                <w:i w:val="0"/>
                <w:iCs w:val="0"/>
                <w:caps w:val="0"/>
                <w:color w:val="000000"/>
                <w:spacing w:val="0"/>
                <w:sz w:val="30"/>
                <w:szCs w:val="30"/>
                <w:lang w:val="en-US" w:eastAsia="zh-CN"/>
              </w:rPr>
              <w:t>547</w:t>
            </w:r>
            <w:bookmarkStart w:id="0" w:name="_GoBack"/>
            <w:bookmarkEnd w:id="0"/>
            <w:r>
              <w:rPr>
                <w:rFonts w:hint="eastAsia" w:ascii="仿宋" w:hAnsi="仿宋" w:eastAsia="仿宋" w:cs="仿宋"/>
                <w:i w:val="0"/>
                <w:iCs w:val="0"/>
                <w:caps w:val="0"/>
                <w:color w:val="000000"/>
                <w:spacing w:val="0"/>
                <w:sz w:val="30"/>
                <w:szCs w:val="30"/>
              </w:rPr>
              <w:t>号</w:t>
            </w:r>
            <w:r>
              <w:rPr>
                <w:rFonts w:hint="eastAsia" w:ascii="仿宋" w:hAnsi="仿宋" w:eastAsia="仿宋" w:cs="仿宋"/>
                <w:i w:val="0"/>
                <w:iCs w:val="0"/>
                <w:caps w:val="0"/>
                <w:color w:val="000000"/>
                <w:spacing w:val="0"/>
                <w:sz w:val="30"/>
                <w:szCs w:val="30"/>
              </w:rPr>
              <w:drawing>
                <wp:inline distT="0" distB="0" distL="114300" distR="114300">
                  <wp:extent cx="5781675" cy="285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81675" cy="28575"/>
                          </a:xfrm>
                          <a:prstGeom prst="rect">
                            <a:avLst/>
                          </a:prstGeom>
                          <a:noFill/>
                          <a:ln w="9525">
                            <a:noFill/>
                          </a:ln>
                        </pic:spPr>
                      </pic:pic>
                    </a:graphicData>
                  </a:graphic>
                </wp:inline>
              </w:drawing>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1"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违法行为类型</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从无《药品经营许可证》的个人处购进药品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07"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违法事实</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both"/>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rPr>
              <w:t> </w:t>
            </w:r>
            <w:r>
              <w:rPr>
                <w:rFonts w:hint="eastAsia" w:ascii="仿宋" w:hAnsi="仿宋" w:eastAsia="仿宋" w:cs="仿宋"/>
                <w:i w:val="0"/>
                <w:iCs w:val="0"/>
                <w:caps w:val="0"/>
                <w:color w:val="333333"/>
                <w:spacing w:val="0"/>
                <w:sz w:val="30"/>
                <w:szCs w:val="30"/>
                <w:lang w:val="en-US" w:eastAsia="zh-CN"/>
              </w:rPr>
              <w:t xml:space="preserve"> </w:t>
            </w:r>
            <w:r>
              <w:rPr>
                <w:rFonts w:hint="eastAsia" w:ascii="仿宋" w:hAnsi="仿宋" w:eastAsia="仿宋" w:cs="仿宋"/>
                <w:i w:val="0"/>
                <w:iCs w:val="0"/>
                <w:caps w:val="0"/>
                <w:color w:val="333333"/>
                <w:spacing w:val="0"/>
                <w:sz w:val="30"/>
                <w:szCs w:val="30"/>
              </w:rPr>
              <w:t> </w:t>
            </w:r>
            <w:r>
              <w:rPr>
                <w:rFonts w:hint="eastAsia" w:ascii="仿宋" w:hAnsi="仿宋" w:eastAsia="仿宋" w:cs="仿宋"/>
                <w:i w:val="0"/>
                <w:iCs w:val="0"/>
                <w:caps w:val="0"/>
                <w:color w:val="333333"/>
                <w:spacing w:val="0"/>
                <w:sz w:val="30"/>
                <w:szCs w:val="30"/>
                <w:lang w:val="en-US" w:eastAsia="zh-CN"/>
              </w:rPr>
              <w:t xml:space="preserve"> 2023年8月30日，东明县市场监督管理局执法人员接到投诉举报以后，对东明县茂泽大药房有限公司旗舰店进行相关检查。现场检查未发现举报人所述药品丹鹿通督片，当事人现场不能提供上述药品购进的合法票据，执法人员对该药店下达东明县市场监督管理局限期提供材料通知书。2023年9月8日，东明县茂泽大药房有限公司旗舰店仍不能提供购进药品丹鹿通督片的合法票据。经调查，2023年7月，东明县茂泽大药房有限公司旗舰店购进丹鹿通督片没有购进企业的合法票据，共购进3盒，购进单价50元/盒，销售单价68元/盒，已售完。该药店没有药品票据购进丹鹿通督片行为涉嫌违反了《药品管理法》第五十五条“ 药品上市许可持有人、药品生产企业、药品经营企业和医疗机构应当从药品上市许可持有人或者具有药品生产、经营资格的企业购进药品;但是，购进未实施审批管理的中药材除外。”的规定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1"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处罚依据</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 xml:space="preserve">    东明县茂泽大药房有限公司旗舰店存在未取得药品合法票据购进丹鹿通督片，已构成“涉嫌从无《药品经营许可证》的个人处购进药品案”，违反了《药品管理法》第五十五条的规定。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default" w:ascii="仿宋" w:hAnsi="仿宋" w:eastAsia="仿宋" w:cs="仿宋"/>
                <w:sz w:val="30"/>
                <w:szCs w:val="30"/>
                <w:lang w:val="en-US"/>
              </w:rPr>
            </w:pPr>
            <w:r>
              <w:rPr>
                <w:rFonts w:hint="eastAsia" w:ascii="仿宋" w:hAnsi="仿宋" w:eastAsia="仿宋" w:cs="仿宋"/>
                <w:i w:val="0"/>
                <w:iCs w:val="0"/>
                <w:caps w:val="0"/>
                <w:color w:val="333333"/>
                <w:spacing w:val="0"/>
                <w:sz w:val="30"/>
                <w:szCs w:val="30"/>
                <w:lang w:val="en-US" w:eastAsia="zh-CN"/>
              </w:rPr>
              <w:t xml:space="preserve">    依据《药品管理法》第一百二十九条 “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的规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1"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处罚类别</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rPr>
            </w:pPr>
            <w:r>
              <w:rPr>
                <w:rFonts w:hint="eastAsia" w:ascii="仿宋" w:hAnsi="仿宋" w:eastAsia="仿宋" w:cs="仿宋"/>
                <w:b w:val="0"/>
                <w:bCs w:val="0"/>
                <w:i w:val="0"/>
                <w:iCs w:val="0"/>
                <w:caps w:val="0"/>
                <w:color w:val="333333"/>
                <w:spacing w:val="0"/>
                <w:sz w:val="30"/>
                <w:szCs w:val="30"/>
                <w:shd w:val="clear" w:fill="FFFFFF"/>
              </w:rPr>
              <w:t>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9"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处罚内容</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东明县茂泽大药房有限公司旗舰店存在未取得药品合法票据购进丹鹿通督片，已构成“涉嫌从无《药品经营许可证》的个人处购进药品案”，违反了《药品管理法》第五十五条的规定。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由于东明县茂泽大药房有限公司旗舰店销售药品丹鹿通督片货值金额较少，并把购药货款退还投诉人，负责人王国文主动改正违法行为，积极配合调查，如实陈述违法事实，故适用《山东省市场监督管理局行使行政处罚裁量权适用规则》第十一条“当事人有下列情形之一，可以依法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（二）主动改正或者及时中止违法行为的；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 xml:space="preserve">（六）积极配合调查，如实陈述违法事实，并如实提供有关证据资料的；”的规定。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 xml:space="preserve"> 依据《药品管理法》第一百二十九条 、《山东省药品行政处罚裁量基准》序号12“裁量因素：《适用规则》第十一 条情形， 裁量基准：货值金额的 0.2 倍以上 2 倍以下罚款” 的规定，给予你单位减轻处罚：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1、没收违法所得204元整；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2、并处违法购进药品货值金额0.2倍以上的罚款合计10001元整。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firstLine="300" w:firstLineChars="10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罚没款合计10205元整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default" w:ascii="Arial" w:hAnsi="Arial" w:cs="Arial" w:eastAsiaTheme="minorEastAsia"/>
                <w:sz w:val="30"/>
                <w:szCs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600" w:firstLineChars="200"/>
              <w:jc w:val="both"/>
              <w:rPr>
                <w:rFonts w:hint="default" w:ascii="Arial" w:hAnsi="Arial" w:cs="Arial" w:eastAsiaTheme="minorEastAsia"/>
                <w:sz w:val="30"/>
                <w:szCs w:val="3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right="0"/>
              <w:jc w:val="both"/>
              <w:rPr>
                <w:rFonts w:hint="default" w:ascii="Arial" w:hAnsi="Arial" w:cs="Arial" w:eastAsiaTheme="minorEastAsia"/>
                <w:sz w:val="30"/>
                <w:szCs w:val="3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4"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暂扣或吊销证照名称及编号</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Arial" w:hAnsi="Arial" w:cs="Arial"/>
                <w:lang w:val="en-US"/>
              </w:rPr>
            </w:pPr>
            <w:r>
              <w:rPr>
                <w:rFonts w:hint="default" w:ascii="Arial" w:hAnsi="Arial" w:eastAsia="仿宋" w:cs="Arial"/>
                <w:i w:val="0"/>
                <w:iCs w:val="0"/>
                <w:caps w:val="0"/>
                <w:color w:val="333333"/>
                <w:spacing w:val="0"/>
                <w:kern w:val="0"/>
                <w:sz w:val="24"/>
                <w:szCs w:val="24"/>
                <w:lang w:val="en-US" w:eastAsia="zh-CN" w:bidi="ar"/>
              </w:rPr>
              <w:t> </w:t>
            </w:r>
            <w:r>
              <w:rPr>
                <w:rFonts w:hint="eastAsia" w:ascii="Arial" w:hAnsi="Arial" w:eastAsia="仿宋" w:cs="Arial"/>
                <w:i w:val="0"/>
                <w:iCs w:val="0"/>
                <w:caps w:val="0"/>
                <w:color w:val="333333"/>
                <w:spacing w:val="0"/>
                <w:kern w:val="0"/>
                <w:sz w:val="24"/>
                <w:szCs w:val="24"/>
                <w:lang w:val="en-US" w:eastAsia="zh-CN" w:bidi="ar"/>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28"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处罚决定日期</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2023年10月9日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1"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履行方式</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已经履行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trPr>
        <w:tc>
          <w:tcPr>
            <w:tcW w:w="690" w:type="dxa"/>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default" w:ascii="Arial" w:hAnsi="Arial" w:cs="Arial"/>
              </w:rPr>
            </w:pPr>
            <w:r>
              <w:rPr>
                <w:rFonts w:hint="default" w:ascii="Arial" w:hAnsi="Arial" w:eastAsia="仿宋" w:cs="Arial"/>
                <w:i w:val="0"/>
                <w:iCs w:val="0"/>
                <w:caps w:val="0"/>
                <w:color w:val="333333"/>
                <w:spacing w:val="0"/>
                <w:sz w:val="24"/>
                <w:szCs w:val="24"/>
              </w:rPr>
              <w:t>处罚机关</w:t>
            </w:r>
          </w:p>
        </w:tc>
        <w:tc>
          <w:tcPr>
            <w:tcW w:w="9315" w:type="dxa"/>
            <w:tcBorders>
              <w:top w:val="nil"/>
              <w:left w:val="nil"/>
              <w:bottom w:val="single" w:color="auto" w:sz="8" w:space="0"/>
              <w:right w:val="single" w:color="auto" w:sz="8"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东明县市场监督管理局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MTRkMmFhNTA1M2JhZTg2ODJkY2Q3NjgzODBjMGMifQ=="/>
  </w:docVars>
  <w:rsids>
    <w:rsidRoot w:val="00000000"/>
    <w:rsid w:val="0DA24EE8"/>
    <w:rsid w:val="1128257D"/>
    <w:rsid w:val="13A14F40"/>
    <w:rsid w:val="28544051"/>
    <w:rsid w:val="3D5E16BB"/>
    <w:rsid w:val="65AD68DC"/>
    <w:rsid w:val="69A84CF2"/>
    <w:rsid w:val="6BD152E4"/>
    <w:rsid w:val="707C4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Words>
  <Characters>81</Characters>
  <Lines>0</Lines>
  <Paragraphs>0</Paragraphs>
  <TotalTime>6</TotalTime>
  <ScaleCrop>false</ScaleCrop>
  <LinksUpToDate>false</LinksUpToDate>
  <CharactersWithSpaces>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2023-06-12T02:46:00Z</dcterms:created>
  <dc:creator>86186</dc:creator>
  <cp:lastModifiedBy>木果果木</cp:lastModifiedBy>
  <cp:lastPrinted>2023-08-14T02:16:00Z</cp:lastPrinted>
  <dcterms:modified xsi:type="dcterms:W3CDTF">2023-10-18T00:40:22Z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8E76D2CBD9804B1590D4F6214712863A_13</vt:lpwstr>
  </property>
</Properties>
</file>