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黑体" w:hAnsi="宋体" w:eastAsia="黑体" w:cs="黑体"/>
          <w:color w:val="000000"/>
          <w:kern w:val="0"/>
          <w:sz w:val="40"/>
          <w:szCs w:val="40"/>
          <w:lang w:val="en-US" w:eastAsia="zh-CN" w:bidi="ar"/>
        </w:rPr>
      </w:pPr>
      <w:r>
        <w:rPr>
          <w:rFonts w:hint="eastAsia" w:ascii="黑体" w:hAnsi="宋体" w:eastAsia="黑体" w:cs="黑体"/>
          <w:color w:val="000000"/>
          <w:kern w:val="0"/>
          <w:sz w:val="40"/>
          <w:szCs w:val="40"/>
          <w:lang w:val="en-US" w:eastAsia="zh-CN" w:bidi="ar"/>
        </w:rPr>
        <w:t>菏泽市生态环境局东明县分局2023年度主动公开基本目录</w:t>
      </w:r>
    </w:p>
    <w:p>
      <w:pPr>
        <w:keepNext w:val="0"/>
        <w:keepLines w:val="0"/>
        <w:widowControl/>
        <w:suppressLineNumbers w:val="0"/>
        <w:jc w:val="center"/>
        <w:rPr>
          <w:rFonts w:ascii="黑体" w:hAnsi="宋体" w:eastAsia="黑体" w:cs="黑体"/>
          <w:color w:val="000000"/>
          <w:kern w:val="0"/>
          <w:sz w:val="24"/>
          <w:szCs w:val="24"/>
          <w:lang w:val="en-US" w:eastAsia="zh-CN" w:bidi="ar"/>
        </w:rPr>
      </w:pPr>
    </w:p>
    <w:tbl>
      <w:tblPr>
        <w:tblStyle w:val="5"/>
        <w:tblW w:w="14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97"/>
        <w:gridCol w:w="636"/>
        <w:gridCol w:w="636"/>
        <w:gridCol w:w="2253"/>
        <w:gridCol w:w="1478"/>
        <w:gridCol w:w="3002"/>
        <w:gridCol w:w="1359"/>
        <w:gridCol w:w="1562"/>
        <w:gridCol w:w="657"/>
        <w:gridCol w:w="660"/>
        <w:gridCol w:w="64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Header/>
          <w:jc w:val="center"/>
        </w:trPr>
        <w:tc>
          <w:tcPr>
            <w:tcW w:w="2674" w:type="dxa"/>
            <w:gridSpan w:val="4"/>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公开事项</w:t>
            </w:r>
          </w:p>
        </w:tc>
        <w:tc>
          <w:tcPr>
            <w:tcW w:w="2253" w:type="dxa"/>
            <w:vMerge w:val="restart"/>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公开内容（要素）</w:t>
            </w:r>
          </w:p>
        </w:tc>
        <w:tc>
          <w:tcPr>
            <w:tcW w:w="1478" w:type="dxa"/>
            <w:vMerge w:val="restart"/>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公开依据</w:t>
            </w:r>
          </w:p>
        </w:tc>
        <w:tc>
          <w:tcPr>
            <w:tcW w:w="3002" w:type="dxa"/>
            <w:vMerge w:val="restart"/>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公开时限</w:t>
            </w:r>
          </w:p>
        </w:tc>
        <w:tc>
          <w:tcPr>
            <w:tcW w:w="1359" w:type="dxa"/>
            <w:vMerge w:val="restart"/>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公开主体</w:t>
            </w:r>
          </w:p>
        </w:tc>
        <w:tc>
          <w:tcPr>
            <w:tcW w:w="1562" w:type="dxa"/>
            <w:vMerge w:val="restart"/>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公开渠道和载体</w:t>
            </w:r>
          </w:p>
        </w:tc>
        <w:tc>
          <w:tcPr>
            <w:tcW w:w="1317" w:type="dxa"/>
            <w:gridSpan w:val="2"/>
            <w:vAlign w:val="center"/>
          </w:tcPr>
          <w:p>
            <w:pPr>
              <w:keepNext w:val="0"/>
              <w:keepLines w:val="0"/>
              <w:widowControl/>
              <w:suppressLineNumbers w:val="0"/>
              <w:jc w:val="center"/>
              <w:rPr>
                <w:rFonts w:hint="eastAsia" w:ascii="黑体" w:hAnsi="黑体" w:eastAsia="黑体" w:cs="黑体"/>
                <w:sz w:val="21"/>
                <w:szCs w:val="21"/>
                <w:vertAlign w:val="baseline"/>
                <w:lang w:val="en-US"/>
              </w:rPr>
            </w:pPr>
            <w:r>
              <w:rPr>
                <w:rFonts w:hint="eastAsia" w:ascii="黑体" w:hAnsi="黑体" w:eastAsia="黑体" w:cs="黑体"/>
                <w:color w:val="000000"/>
                <w:kern w:val="0"/>
                <w:sz w:val="21"/>
                <w:szCs w:val="21"/>
                <w:lang w:val="en-US" w:eastAsia="zh-CN" w:bidi="ar"/>
              </w:rPr>
              <w:t>公开对象</w:t>
            </w:r>
          </w:p>
        </w:tc>
        <w:tc>
          <w:tcPr>
            <w:tcW w:w="1350" w:type="dxa"/>
            <w:gridSpan w:val="2"/>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blHeader/>
          <w:jc w:val="center"/>
        </w:trPr>
        <w:tc>
          <w:tcPr>
            <w:tcW w:w="705"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一级</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事项</w:t>
            </w:r>
          </w:p>
        </w:tc>
        <w:tc>
          <w:tcPr>
            <w:tcW w:w="697"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二级</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事项</w:t>
            </w: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三级</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事项</w:t>
            </w: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四级</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事项</w:t>
            </w:r>
          </w:p>
        </w:tc>
        <w:tc>
          <w:tcPr>
            <w:tcW w:w="2253" w:type="dxa"/>
            <w:vMerge w:val="continue"/>
            <w:vAlign w:val="center"/>
          </w:tcPr>
          <w:p>
            <w:pPr>
              <w:jc w:val="center"/>
              <w:rPr>
                <w:rFonts w:hint="eastAsia" w:ascii="黑体" w:hAnsi="黑体" w:eastAsia="黑体" w:cs="黑体"/>
                <w:sz w:val="21"/>
                <w:szCs w:val="21"/>
                <w:vertAlign w:val="baseline"/>
              </w:rPr>
            </w:pPr>
          </w:p>
        </w:tc>
        <w:tc>
          <w:tcPr>
            <w:tcW w:w="1478" w:type="dxa"/>
            <w:vMerge w:val="continue"/>
            <w:vAlign w:val="center"/>
          </w:tcPr>
          <w:p>
            <w:pPr>
              <w:jc w:val="center"/>
              <w:rPr>
                <w:rFonts w:hint="eastAsia" w:ascii="黑体" w:hAnsi="黑体" w:eastAsia="黑体" w:cs="黑体"/>
                <w:sz w:val="21"/>
                <w:szCs w:val="21"/>
                <w:vertAlign w:val="baseline"/>
              </w:rPr>
            </w:pPr>
          </w:p>
        </w:tc>
        <w:tc>
          <w:tcPr>
            <w:tcW w:w="3002" w:type="dxa"/>
            <w:vMerge w:val="continue"/>
            <w:vAlign w:val="center"/>
          </w:tcPr>
          <w:p>
            <w:pPr>
              <w:jc w:val="center"/>
              <w:rPr>
                <w:rFonts w:hint="eastAsia" w:ascii="黑体" w:hAnsi="黑体" w:eastAsia="黑体" w:cs="黑体"/>
                <w:sz w:val="21"/>
                <w:szCs w:val="21"/>
                <w:vertAlign w:val="baseline"/>
              </w:rPr>
            </w:pPr>
          </w:p>
        </w:tc>
        <w:tc>
          <w:tcPr>
            <w:tcW w:w="1359" w:type="dxa"/>
            <w:vMerge w:val="continue"/>
            <w:vAlign w:val="center"/>
          </w:tcPr>
          <w:p>
            <w:pPr>
              <w:jc w:val="center"/>
              <w:rPr>
                <w:rFonts w:hint="eastAsia" w:ascii="黑体" w:hAnsi="黑体" w:eastAsia="黑体" w:cs="黑体"/>
                <w:sz w:val="21"/>
                <w:szCs w:val="21"/>
                <w:vertAlign w:val="baseline"/>
              </w:rPr>
            </w:pPr>
          </w:p>
        </w:tc>
        <w:tc>
          <w:tcPr>
            <w:tcW w:w="1562" w:type="dxa"/>
            <w:vMerge w:val="continue"/>
            <w:vAlign w:val="center"/>
          </w:tcPr>
          <w:p>
            <w:pPr>
              <w:jc w:val="center"/>
              <w:rPr>
                <w:rFonts w:hint="eastAsia" w:ascii="黑体" w:hAnsi="黑体" w:eastAsia="黑体" w:cs="黑体"/>
                <w:sz w:val="21"/>
                <w:szCs w:val="21"/>
                <w:vertAlign w:val="baseline"/>
              </w:rPr>
            </w:pPr>
          </w:p>
        </w:tc>
        <w:tc>
          <w:tcPr>
            <w:tcW w:w="657"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全社</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会</w:t>
            </w:r>
          </w:p>
        </w:tc>
        <w:tc>
          <w:tcPr>
            <w:tcW w:w="660"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特定</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对象</w:t>
            </w:r>
          </w:p>
        </w:tc>
        <w:tc>
          <w:tcPr>
            <w:tcW w:w="645"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主动</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公开</w:t>
            </w:r>
          </w:p>
        </w:tc>
        <w:tc>
          <w:tcPr>
            <w:tcW w:w="705"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依申</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请公</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法定</w:t>
            </w:r>
          </w:p>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基础</w:t>
            </w:r>
          </w:p>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信息</w:t>
            </w:r>
          </w:p>
        </w:tc>
        <w:tc>
          <w:tcPr>
            <w:tcW w:w="697" w:type="dxa"/>
            <w:vMerge w:val="restart"/>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机构</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职能</w:t>
            </w: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机构</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设置</w:t>
            </w:r>
          </w:p>
        </w:tc>
        <w:tc>
          <w:tcPr>
            <w:tcW w:w="636" w:type="dxa"/>
            <w:vAlign w:val="center"/>
          </w:tcPr>
          <w:p>
            <w:pPr>
              <w:jc w:val="center"/>
              <w:rPr>
                <w:rFonts w:hint="eastAsia" w:ascii="黑体" w:hAnsi="黑体" w:eastAsia="黑体" w:cs="黑体"/>
                <w:sz w:val="21"/>
                <w:szCs w:val="21"/>
                <w:vertAlign w:val="baseline"/>
              </w:rPr>
            </w:pPr>
          </w:p>
        </w:tc>
        <w:tc>
          <w:tcPr>
            <w:tcW w:w="2253"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机构设置、部门职能、</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办公地址、办公时间、</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联系方式等信息</w:t>
            </w:r>
          </w:p>
        </w:tc>
        <w:tc>
          <w:tcPr>
            <w:tcW w:w="1478"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《政府信息公</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开条例》</w:t>
            </w:r>
          </w:p>
        </w:tc>
        <w:tc>
          <w:tcPr>
            <w:tcW w:w="3002"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自该信息形成或者变更之日起 20 个工作日内及时公开。另有规定的，从其规定。</w:t>
            </w:r>
          </w:p>
        </w:tc>
        <w:tc>
          <w:tcPr>
            <w:tcW w:w="1359"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sz w:val="21"/>
                <w:szCs w:val="21"/>
                <w:vertAlign w:val="baseline"/>
                <w:lang w:val="en-US" w:eastAsia="zh-CN"/>
              </w:rPr>
            </w:pPr>
          </w:p>
        </w:tc>
        <w:tc>
          <w:tcPr>
            <w:tcW w:w="645"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领导</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信息</w:t>
            </w:r>
          </w:p>
        </w:tc>
        <w:tc>
          <w:tcPr>
            <w:tcW w:w="636" w:type="dxa"/>
            <w:vAlign w:val="center"/>
          </w:tcPr>
          <w:p>
            <w:pPr>
              <w:jc w:val="center"/>
              <w:rPr>
                <w:rFonts w:hint="eastAsia" w:ascii="黑体" w:hAnsi="黑体" w:eastAsia="黑体" w:cs="黑体"/>
                <w:sz w:val="21"/>
                <w:szCs w:val="21"/>
                <w:vertAlign w:val="baseline"/>
              </w:rPr>
            </w:pPr>
          </w:p>
        </w:tc>
        <w:tc>
          <w:tcPr>
            <w:tcW w:w="2253"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负责人的姓名、现任职</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务职级、性别、民族、</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出生年月、学历学位、</w:t>
            </w:r>
          </w:p>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政治面貌、照片等</w:t>
            </w:r>
          </w:p>
        </w:tc>
        <w:tc>
          <w:tcPr>
            <w:tcW w:w="1478"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《政府信息公</w:t>
            </w:r>
          </w:p>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开条例》</w:t>
            </w:r>
          </w:p>
        </w:tc>
        <w:tc>
          <w:tcPr>
            <w:tcW w:w="300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自该信息形成或者变更之日起 20 个工作日内及时公开。另有规定的，从其规定。</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内设</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机构</w:t>
            </w:r>
          </w:p>
        </w:tc>
        <w:tc>
          <w:tcPr>
            <w:tcW w:w="636" w:type="dxa"/>
            <w:vAlign w:val="center"/>
          </w:tcPr>
          <w:p>
            <w:pPr>
              <w:jc w:val="center"/>
              <w:rPr>
                <w:rFonts w:hint="eastAsia" w:ascii="黑体" w:hAnsi="黑体" w:eastAsia="黑体" w:cs="黑体"/>
                <w:sz w:val="21"/>
                <w:szCs w:val="21"/>
                <w:vertAlign w:val="baseline"/>
              </w:rPr>
            </w:pP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内设机构设置、 职能等</w:t>
            </w:r>
          </w:p>
        </w:tc>
        <w:tc>
          <w:tcPr>
            <w:tcW w:w="1478"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《政府信息公</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开条例》</w:t>
            </w:r>
          </w:p>
        </w:tc>
        <w:tc>
          <w:tcPr>
            <w:tcW w:w="300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自该信息形成或者变更之日起 20 个工作日内及时公开。另有规定的，从其规定。</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下属</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事业</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单位</w:t>
            </w:r>
          </w:p>
        </w:tc>
        <w:tc>
          <w:tcPr>
            <w:tcW w:w="636" w:type="dxa"/>
            <w:vAlign w:val="center"/>
          </w:tcPr>
          <w:p>
            <w:pPr>
              <w:jc w:val="center"/>
              <w:rPr>
                <w:rFonts w:hint="eastAsia" w:ascii="黑体" w:hAnsi="黑体" w:eastAsia="黑体" w:cs="黑体"/>
                <w:sz w:val="21"/>
                <w:szCs w:val="21"/>
                <w:vertAlign w:val="baseline"/>
              </w:rPr>
            </w:pP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下属事业单位设置、 职能等</w:t>
            </w:r>
          </w:p>
        </w:tc>
        <w:tc>
          <w:tcPr>
            <w:tcW w:w="1478"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《政府信息公</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开条例》</w:t>
            </w:r>
          </w:p>
        </w:tc>
        <w:tc>
          <w:tcPr>
            <w:tcW w:w="300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自该信息形成或者变更之日起 20 个工作日内及时公开。另有规定的，从其规定。</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采购</w:t>
            </w: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实施</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情况</w:t>
            </w:r>
          </w:p>
        </w:tc>
        <w:tc>
          <w:tcPr>
            <w:tcW w:w="636" w:type="dxa"/>
            <w:vAlign w:val="center"/>
          </w:tcPr>
          <w:p>
            <w:pPr>
              <w:keepNext w:val="0"/>
              <w:keepLines w:val="0"/>
              <w:widowControl/>
              <w:suppressLineNumbers w:val="0"/>
              <w:jc w:val="center"/>
              <w:rPr>
                <w:rFonts w:hint="eastAsia" w:ascii="黑体" w:hAnsi="黑体" w:eastAsia="黑体" w:cs="黑体"/>
                <w:kern w:val="2"/>
                <w:sz w:val="21"/>
                <w:szCs w:val="21"/>
                <w:vertAlign w:val="baseline"/>
                <w:lang w:val="en-US" w:eastAsia="zh-CN" w:bidi="ar-SA"/>
              </w:rPr>
            </w:pPr>
          </w:p>
        </w:tc>
        <w:tc>
          <w:tcPr>
            <w:tcW w:w="2253"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及时规范公开集中采购实施情况</w:t>
            </w:r>
          </w:p>
        </w:tc>
        <w:tc>
          <w:tcPr>
            <w:tcW w:w="1478"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《政府信息公</w:t>
            </w:r>
          </w:p>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开条例》</w:t>
            </w:r>
          </w:p>
        </w:tc>
        <w:tc>
          <w:tcPr>
            <w:tcW w:w="300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自该信息形成或者变更之日起 20 个工作日内及时公开。另有规定的，从其规定。</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restart"/>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机制</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建设</w:t>
            </w: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业务</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培训</w:t>
            </w: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部门</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培训</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计划</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与开</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展情</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况</w:t>
            </w: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每年制定并公开年度培训计划，按照计划开展或参加政务公开业务培训情况信息</w:t>
            </w:r>
          </w:p>
        </w:tc>
        <w:tc>
          <w:tcPr>
            <w:tcW w:w="1478"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《政府信息公</w:t>
            </w:r>
          </w:p>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开条例》</w:t>
            </w:r>
          </w:p>
        </w:tc>
        <w:tc>
          <w:tcPr>
            <w:tcW w:w="300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自该信息形成或者变更之日起 20 个工作日内及时公开。另有规定的，从其规定。</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color w:val="000000"/>
                <w:kern w:val="0"/>
                <w:sz w:val="21"/>
                <w:szCs w:val="21"/>
                <w:lang w:val="en-US" w:eastAsia="zh-CN" w:bidi="ar"/>
              </w:rPr>
            </w:pP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工作</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推进</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部门</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实施</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方案</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spacing w:val="-6"/>
                <w:sz w:val="21"/>
                <w:szCs w:val="21"/>
              </w:rPr>
              <w:t>或</w:t>
            </w:r>
            <w:r>
              <w:rPr>
                <w:rFonts w:hint="eastAsia" w:ascii="黑体" w:hAnsi="黑体" w:eastAsia="黑体" w:cs="黑体"/>
                <w:color w:val="000000"/>
                <w:kern w:val="0"/>
                <w:sz w:val="21"/>
                <w:szCs w:val="21"/>
                <w:lang w:val="en-US" w:eastAsia="zh-CN" w:bidi="ar"/>
              </w:rPr>
              <w:t>工</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作措</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施</w:t>
            </w:r>
          </w:p>
        </w:tc>
        <w:tc>
          <w:tcPr>
            <w:tcW w:w="2253" w:type="dxa"/>
            <w:vAlign w:val="center"/>
          </w:tcPr>
          <w:p>
            <w:pPr>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每年制定并公开</w:t>
            </w:r>
            <w:r>
              <w:rPr>
                <w:rFonts w:hint="eastAsia" w:ascii="黑体" w:hAnsi="黑体" w:eastAsia="黑体" w:cs="黑体"/>
                <w:spacing w:val="-6"/>
                <w:sz w:val="21"/>
                <w:szCs w:val="21"/>
              </w:rPr>
              <w:t>部门实施方案或工作措施</w:t>
            </w:r>
          </w:p>
        </w:tc>
        <w:tc>
          <w:tcPr>
            <w:tcW w:w="1478"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《政府信息公</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开条例》</w:t>
            </w:r>
          </w:p>
        </w:tc>
        <w:tc>
          <w:tcPr>
            <w:tcW w:w="3002"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自该信息形成或者变更之日起 20 个工作日内及时公开。另有规定的，从其规定。</w:t>
            </w:r>
          </w:p>
        </w:tc>
        <w:tc>
          <w:tcPr>
            <w:tcW w:w="1359"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Align w:val="center"/>
          </w:tcPr>
          <w:p>
            <w:pPr>
              <w:keepNext w:val="0"/>
              <w:keepLines w:val="0"/>
              <w:widowControl/>
              <w:suppressLineNumbers w:val="0"/>
              <w:jc w:val="center"/>
              <w:rPr>
                <w:rFonts w:hint="default"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政务公开工作机构</w:t>
            </w:r>
          </w:p>
        </w:tc>
        <w:tc>
          <w:tcPr>
            <w:tcW w:w="636" w:type="dxa"/>
            <w:vAlign w:val="center"/>
          </w:tcPr>
          <w:p>
            <w:pPr>
              <w:keepNext w:val="0"/>
              <w:keepLines w:val="0"/>
              <w:widowControl/>
              <w:suppressLineNumbers w:val="0"/>
              <w:jc w:val="center"/>
              <w:rPr>
                <w:rFonts w:hint="default" w:ascii="黑体" w:hAnsi="黑体" w:eastAsia="黑体" w:cs="黑体"/>
                <w:kern w:val="2"/>
                <w:sz w:val="21"/>
                <w:szCs w:val="21"/>
                <w:vertAlign w:val="baseline"/>
                <w:lang w:val="en-US" w:eastAsia="zh-CN" w:bidi="ar-SA"/>
              </w:rPr>
            </w:pPr>
            <w:r>
              <w:rPr>
                <w:rFonts w:hint="eastAsia" w:ascii="黑体" w:hAnsi="黑体" w:eastAsia="黑体" w:cs="黑体"/>
                <w:kern w:val="2"/>
                <w:sz w:val="21"/>
                <w:szCs w:val="21"/>
                <w:vertAlign w:val="baseline"/>
                <w:lang w:val="en-US" w:eastAsia="zh-CN" w:bidi="ar-SA"/>
              </w:rPr>
              <w:t>部门分管负责人</w:t>
            </w:r>
          </w:p>
        </w:tc>
        <w:tc>
          <w:tcPr>
            <w:tcW w:w="2253"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kern w:val="2"/>
                <w:sz w:val="21"/>
                <w:szCs w:val="21"/>
                <w:vertAlign w:val="baseline"/>
                <w:lang w:val="en-US" w:eastAsia="zh-CN" w:bidi="ar-SA"/>
              </w:rPr>
              <w:t>及时调整政务公开领导小组并公开相关文件</w:t>
            </w:r>
          </w:p>
        </w:tc>
        <w:tc>
          <w:tcPr>
            <w:tcW w:w="1478"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《政府信息公</w:t>
            </w:r>
          </w:p>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开条例》</w:t>
            </w:r>
          </w:p>
        </w:tc>
        <w:tc>
          <w:tcPr>
            <w:tcW w:w="300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自该信息形成或者变更之日起 20 个工作日内及时公开。另有规定的，从其规定。</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重点领域信息</w:t>
            </w:r>
          </w:p>
        </w:tc>
        <w:tc>
          <w:tcPr>
            <w:tcW w:w="697" w:type="dxa"/>
            <w:vMerge w:val="restart"/>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行政</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执法</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公示</w:t>
            </w:r>
          </w:p>
        </w:tc>
        <w:tc>
          <w:tcPr>
            <w:tcW w:w="636" w:type="dxa"/>
            <w:vMerge w:val="restart"/>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事前公开</w:t>
            </w: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行政</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执法</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人员</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名单</w:t>
            </w: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及时规范公开行政执法人员资格清单</w:t>
            </w:r>
          </w:p>
        </w:tc>
        <w:tc>
          <w:tcPr>
            <w:tcW w:w="1478"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《政府信息公</w:t>
            </w:r>
          </w:p>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开条例》</w:t>
            </w:r>
          </w:p>
        </w:tc>
        <w:tc>
          <w:tcPr>
            <w:tcW w:w="3002"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自执法决定作出之日起20 个工作日内，向社会公布。</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continue"/>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执法</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岗位</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信息</w:t>
            </w: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及时规范公开行政执法岗位信息</w:t>
            </w:r>
          </w:p>
        </w:tc>
        <w:tc>
          <w:tcPr>
            <w:tcW w:w="1478"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《政府信息公</w:t>
            </w:r>
          </w:p>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开条例》</w:t>
            </w:r>
          </w:p>
        </w:tc>
        <w:tc>
          <w:tcPr>
            <w:tcW w:w="300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自执法决定作出之日起20 个工作日内，向社会公布。</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continue"/>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行政</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执法</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主体</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清单</w:t>
            </w: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及时规范公开行政执法主体资格清单</w:t>
            </w:r>
          </w:p>
        </w:tc>
        <w:tc>
          <w:tcPr>
            <w:tcW w:w="1478"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《政府信息公</w:t>
            </w:r>
          </w:p>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开条例》</w:t>
            </w:r>
          </w:p>
        </w:tc>
        <w:tc>
          <w:tcPr>
            <w:tcW w:w="300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自执法决定作出之日起20 个工作日内，向社会公布。</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continue"/>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服务</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指南</w:t>
            </w:r>
          </w:p>
        </w:tc>
        <w:tc>
          <w:tcPr>
            <w:tcW w:w="2253" w:type="dxa"/>
            <w:vAlign w:val="center"/>
          </w:tcPr>
          <w:p>
            <w:pPr>
              <w:keepNext w:val="0"/>
              <w:keepLines w:val="0"/>
              <w:widowControl/>
              <w:suppressLineNumbers w:val="0"/>
              <w:jc w:val="both"/>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集中向社会依法公开行政执法职责、执法依</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据、执法程序、监督途径等信息；编制并公开本机关的服务指南、执法流程图；服务指南明确执法事项名称、受理机构、审批机构、受理条件、办理时限等内容</w:t>
            </w:r>
          </w:p>
        </w:tc>
        <w:tc>
          <w:tcPr>
            <w:tcW w:w="1478"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《政府信息公</w:t>
            </w:r>
          </w:p>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开条例》</w:t>
            </w:r>
          </w:p>
        </w:tc>
        <w:tc>
          <w:tcPr>
            <w:tcW w:w="300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自执法决定作出之日起20 个工作日内，向社会公布。</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continue"/>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公示</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内容</w:t>
            </w: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及时规范公开行政执法职责、权限、依据、程序、监督途径</w:t>
            </w:r>
          </w:p>
        </w:tc>
        <w:tc>
          <w:tcPr>
            <w:tcW w:w="1478"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《政府信息公</w:t>
            </w:r>
          </w:p>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开条例》</w:t>
            </w:r>
          </w:p>
        </w:tc>
        <w:tc>
          <w:tcPr>
            <w:tcW w:w="300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自执法决定作出之日起20 个工作日内，向社会公布。</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重点</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领域</w:t>
            </w:r>
          </w:p>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信息</w:t>
            </w: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restart"/>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事后</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公开</w:t>
            </w: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行政</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执法</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总体</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情况</w:t>
            </w: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及时规范公开行政执法统计年报</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每年1月31日前公开上</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年度总体情况。</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continue"/>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执法</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结果</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信息</w:t>
            </w: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按时向社会公布执法机关、执法对象、执法类别、执法结论等执法结果信息</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自执法决定作出之日起20 个工作日内，向社会公布。行政许可、行政处罚自执法决定作出之日起7 个工作日内公开。</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restart"/>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环境保护</w:t>
            </w:r>
          </w:p>
        </w:tc>
        <w:tc>
          <w:tcPr>
            <w:tcW w:w="636" w:type="dxa"/>
            <w:vMerge w:val="restart"/>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依法</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行政</w:t>
            </w:r>
          </w:p>
        </w:tc>
        <w:tc>
          <w:tcPr>
            <w:tcW w:w="636"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rPr>
              <w:t>行政强制</w:t>
            </w:r>
          </w:p>
        </w:tc>
        <w:tc>
          <w:tcPr>
            <w:tcW w:w="2253"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rPr>
              <w:t>办理行政强制的依据</w:t>
            </w:r>
            <w:r>
              <w:rPr>
                <w:rFonts w:hint="eastAsia" w:ascii="黑体" w:hAnsi="黑体" w:eastAsia="黑体" w:cs="黑体"/>
                <w:sz w:val="21"/>
                <w:szCs w:val="21"/>
                <w:vertAlign w:val="baseline"/>
                <w:lang w:eastAsia="zh-CN"/>
              </w:rPr>
              <w:t>、</w:t>
            </w:r>
            <w:r>
              <w:rPr>
                <w:rFonts w:hint="eastAsia" w:ascii="黑体" w:hAnsi="黑体" w:eastAsia="黑体" w:cs="黑体"/>
                <w:sz w:val="21"/>
                <w:szCs w:val="21"/>
                <w:vertAlign w:val="baseline"/>
              </w:rPr>
              <w:t>条件、程序</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自执法决定作出之日起20 个工作日内，向社会公布。行政许可、行政处罚自执法决定作出之日起7 个工作日内公开。</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continue"/>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rPr>
              <w:t>行政处罚</w:t>
            </w:r>
          </w:p>
        </w:tc>
        <w:tc>
          <w:tcPr>
            <w:tcW w:w="2253"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rPr>
              <w:t>办理行政处罚的依据、</w:t>
            </w:r>
          </w:p>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rPr>
              <w:t>条件、程序以及本级行政机关认为具有一定社会影响的行政处罚决定</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自执法决定作出之日起20 个工作日内，向社会公布。行政许可、行政处罚自执法决定作出之日起7 个工作日内公开。</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continue"/>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rPr>
              <w:t>行政许可</w:t>
            </w:r>
          </w:p>
        </w:tc>
        <w:tc>
          <w:tcPr>
            <w:tcW w:w="2253" w:type="dxa"/>
            <w:vAlign w:val="center"/>
          </w:tcPr>
          <w:p>
            <w:pPr>
              <w:jc w:val="both"/>
              <w:rPr>
                <w:rFonts w:hint="eastAsia" w:ascii="黑体" w:hAnsi="黑体" w:eastAsia="黑体" w:cs="黑体"/>
                <w:sz w:val="21"/>
                <w:szCs w:val="21"/>
                <w:vertAlign w:val="baseline"/>
              </w:rPr>
            </w:pPr>
            <w:r>
              <w:rPr>
                <w:rFonts w:hint="eastAsia" w:ascii="黑体" w:hAnsi="黑体" w:eastAsia="黑体" w:cs="黑体"/>
                <w:sz w:val="21"/>
                <w:szCs w:val="21"/>
                <w:vertAlign w:val="baseline"/>
              </w:rPr>
              <w:t>办理行政许可和其他对外管理服务事项</w:t>
            </w:r>
            <w:r>
              <w:rPr>
                <w:rFonts w:hint="eastAsia" w:ascii="黑体" w:hAnsi="黑体" w:eastAsia="黑体" w:cs="黑体"/>
                <w:sz w:val="21"/>
                <w:szCs w:val="21"/>
                <w:vertAlign w:val="baseline"/>
                <w:lang w:val="en-US" w:eastAsia="zh-CN"/>
              </w:rPr>
              <w:t>的</w:t>
            </w:r>
            <w:r>
              <w:rPr>
                <w:rFonts w:hint="eastAsia" w:ascii="黑体" w:hAnsi="黑体" w:eastAsia="黑体" w:cs="黑体"/>
                <w:sz w:val="21"/>
                <w:szCs w:val="21"/>
                <w:vertAlign w:val="baseline"/>
              </w:rPr>
              <w:t>依据、条件、程序</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自执法决定作出之日起20 个工作日内，向社会公布。行政许可、行政处罚自执法决定作出之日起7 个工作日内公开。</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监督检查</w:t>
            </w:r>
          </w:p>
        </w:tc>
        <w:tc>
          <w:tcPr>
            <w:tcW w:w="636" w:type="dxa"/>
            <w:vAlign w:val="center"/>
          </w:tcPr>
          <w:p>
            <w:pPr>
              <w:jc w:val="center"/>
              <w:rPr>
                <w:rFonts w:hint="eastAsia" w:ascii="黑体" w:hAnsi="黑体" w:eastAsia="黑体" w:cs="黑体"/>
                <w:sz w:val="21"/>
                <w:szCs w:val="21"/>
                <w:vertAlign w:val="baseline"/>
              </w:rPr>
            </w:pPr>
          </w:p>
        </w:tc>
        <w:tc>
          <w:tcPr>
            <w:tcW w:w="2253"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eastAsia="zh-CN"/>
              </w:rPr>
              <w:t>生态环境</w:t>
            </w:r>
            <w:r>
              <w:rPr>
                <w:rFonts w:hint="eastAsia" w:ascii="黑体" w:hAnsi="黑体" w:eastAsia="黑体" w:cs="黑体"/>
                <w:sz w:val="21"/>
                <w:szCs w:val="21"/>
                <w:vertAlign w:val="baseline"/>
              </w:rPr>
              <w:t>监督检查信息</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rPr>
              <w:t>自该信息形成或者变更之日起20个工作日内及时公开。另有规定的，从其规定。</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restart"/>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公共服务</w:t>
            </w:r>
          </w:p>
        </w:tc>
        <w:tc>
          <w:tcPr>
            <w:tcW w:w="636"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办事指南</w:t>
            </w:r>
          </w:p>
        </w:tc>
        <w:tc>
          <w:tcPr>
            <w:tcW w:w="2253"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办事依据、程序、时限，办事时间、地点、部门、联系方式及相关办理结果</w:t>
            </w:r>
          </w:p>
        </w:tc>
        <w:tc>
          <w:tcPr>
            <w:tcW w:w="1478"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《政府信息公</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自该信息形成或者变更之日起20个工作日内及时公开。另有规定的，从其规定。</w:t>
            </w:r>
          </w:p>
        </w:tc>
        <w:tc>
          <w:tcPr>
            <w:tcW w:w="1359"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菏泽市生态环境局东明县分局</w:t>
            </w:r>
          </w:p>
        </w:tc>
        <w:tc>
          <w:tcPr>
            <w:tcW w:w="1562"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政府门户网站</w:t>
            </w:r>
          </w:p>
        </w:tc>
        <w:tc>
          <w:tcPr>
            <w:tcW w:w="657"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w:t>
            </w:r>
          </w:p>
        </w:tc>
        <w:tc>
          <w:tcPr>
            <w:tcW w:w="660"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45"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w:t>
            </w:r>
          </w:p>
        </w:tc>
        <w:tc>
          <w:tcPr>
            <w:tcW w:w="705"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continue"/>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权责清单</w:t>
            </w:r>
          </w:p>
        </w:tc>
        <w:tc>
          <w:tcPr>
            <w:tcW w:w="2253"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政府部门权责清单，并根据法律法规立改废释情况、机构和职能调整情况等，及时调整</w:t>
            </w:r>
          </w:p>
        </w:tc>
        <w:tc>
          <w:tcPr>
            <w:tcW w:w="1478"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w:t>
            </w:r>
            <w:bookmarkStart w:id="0" w:name="_GoBack"/>
            <w:bookmarkEnd w:id="0"/>
            <w:r>
              <w:rPr>
                <w:rFonts w:hint="eastAsia" w:ascii="黑体" w:hAnsi="黑体" w:eastAsia="黑体" w:cs="黑体"/>
                <w:color w:val="000000"/>
                <w:kern w:val="0"/>
                <w:sz w:val="21"/>
                <w:szCs w:val="21"/>
                <w:lang w:val="en-US" w:eastAsia="zh-CN" w:bidi="ar"/>
              </w:rPr>
              <w:t>政府信息公</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在权责清单调整后20个工作日内。</w:t>
            </w:r>
          </w:p>
        </w:tc>
        <w:tc>
          <w:tcPr>
            <w:tcW w:w="1359"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菏泽市生态环境局东明县分局</w:t>
            </w:r>
          </w:p>
        </w:tc>
        <w:tc>
          <w:tcPr>
            <w:tcW w:w="1562"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政府门户网站</w:t>
            </w:r>
          </w:p>
        </w:tc>
        <w:tc>
          <w:tcPr>
            <w:tcW w:w="657"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w:t>
            </w:r>
          </w:p>
        </w:tc>
        <w:tc>
          <w:tcPr>
            <w:tcW w:w="660"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45"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w:t>
            </w:r>
          </w:p>
        </w:tc>
        <w:tc>
          <w:tcPr>
            <w:tcW w:w="705"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重点</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领域</w:t>
            </w:r>
          </w:p>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信息</w:t>
            </w:r>
          </w:p>
        </w:tc>
        <w:tc>
          <w:tcPr>
            <w:tcW w:w="697" w:type="dxa"/>
            <w:vMerge w:val="restart"/>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环境保护</w:t>
            </w:r>
          </w:p>
        </w:tc>
        <w:tc>
          <w:tcPr>
            <w:tcW w:w="636" w:type="dxa"/>
            <w:vMerge w:val="restart"/>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行政管理</w:t>
            </w:r>
          </w:p>
        </w:tc>
        <w:tc>
          <w:tcPr>
            <w:tcW w:w="636"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eastAsia="zh-CN"/>
              </w:rPr>
              <w:t>环境</w:t>
            </w:r>
            <w:r>
              <w:rPr>
                <w:rFonts w:hint="eastAsia" w:ascii="黑体" w:hAnsi="黑体" w:eastAsia="黑体" w:cs="黑体"/>
                <w:sz w:val="21"/>
                <w:szCs w:val="21"/>
                <w:vertAlign w:val="baseline"/>
              </w:rPr>
              <w:t>预警提示信息</w:t>
            </w:r>
          </w:p>
        </w:tc>
        <w:tc>
          <w:tcPr>
            <w:tcW w:w="2253"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eastAsia="zh-CN"/>
              </w:rPr>
              <w:t>环境</w:t>
            </w:r>
            <w:r>
              <w:rPr>
                <w:rFonts w:hint="eastAsia" w:ascii="黑体" w:hAnsi="黑体" w:eastAsia="黑体" w:cs="黑体"/>
                <w:sz w:val="21"/>
                <w:szCs w:val="21"/>
                <w:vertAlign w:val="baseline"/>
              </w:rPr>
              <w:t>预警信息</w:t>
            </w:r>
          </w:p>
          <w:p>
            <w:pPr>
              <w:jc w:val="center"/>
              <w:rPr>
                <w:rFonts w:hint="eastAsia" w:ascii="黑体" w:hAnsi="黑体" w:eastAsia="黑体" w:cs="黑体"/>
                <w:sz w:val="21"/>
                <w:szCs w:val="21"/>
                <w:vertAlign w:val="baseline"/>
              </w:rPr>
            </w:pP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color w:val="000000"/>
                <w:kern w:val="0"/>
                <w:sz w:val="21"/>
                <w:szCs w:val="21"/>
                <w:lang w:val="en-US" w:eastAsia="zh-CN" w:bidi="ar"/>
              </w:rPr>
              <w:t>开条例》</w:t>
            </w:r>
          </w:p>
        </w:tc>
        <w:tc>
          <w:tcPr>
            <w:tcW w:w="3002"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rPr>
              <w:t>实时公开</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continue"/>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工作信息</w:t>
            </w:r>
          </w:p>
        </w:tc>
        <w:tc>
          <w:tcPr>
            <w:tcW w:w="2253"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rPr>
              <w:t>业务工作信息、</w:t>
            </w:r>
            <w:r>
              <w:rPr>
                <w:rFonts w:hint="eastAsia" w:ascii="黑体" w:hAnsi="黑体" w:eastAsia="黑体" w:cs="黑体"/>
                <w:sz w:val="21"/>
                <w:szCs w:val="21"/>
                <w:vertAlign w:val="baseline"/>
                <w:lang w:eastAsia="zh-CN"/>
              </w:rPr>
              <w:t>生态环境</w:t>
            </w:r>
            <w:r>
              <w:rPr>
                <w:rFonts w:hint="eastAsia" w:ascii="黑体" w:hAnsi="黑体" w:eastAsia="黑体" w:cs="黑体"/>
                <w:sz w:val="21"/>
                <w:szCs w:val="21"/>
                <w:vertAlign w:val="baseline"/>
              </w:rPr>
              <w:t>执法检查信息</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自该信息形成或者变更之日起 7 个工作日内。</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重点</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领域</w:t>
            </w:r>
          </w:p>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信息</w:t>
            </w:r>
          </w:p>
        </w:tc>
        <w:tc>
          <w:tcPr>
            <w:tcW w:w="697" w:type="dxa"/>
            <w:vMerge w:val="restart"/>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环境保护</w:t>
            </w:r>
          </w:p>
        </w:tc>
        <w:tc>
          <w:tcPr>
            <w:tcW w:w="636" w:type="dxa"/>
            <w:vMerge w:val="restart"/>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其他行政职责</w:t>
            </w:r>
          </w:p>
        </w:tc>
        <w:tc>
          <w:tcPr>
            <w:tcW w:w="636"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color w:val="000000"/>
                <w:kern w:val="0"/>
                <w:sz w:val="21"/>
                <w:szCs w:val="21"/>
                <w:lang w:val="en-US" w:eastAsia="zh-CN" w:bidi="ar"/>
              </w:rPr>
              <w:t>企业事业单位突发环境事件应急预案备案</w:t>
            </w: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备案</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自该信息形成或者变更之日起 7 个工作日内。</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continue"/>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color w:val="000000"/>
                <w:kern w:val="0"/>
                <w:sz w:val="21"/>
                <w:szCs w:val="21"/>
                <w:lang w:val="en-US" w:eastAsia="zh-CN" w:bidi="ar"/>
              </w:rPr>
              <w:t>生态环境保护督察</w:t>
            </w:r>
          </w:p>
        </w:tc>
        <w:tc>
          <w:tcPr>
            <w:tcW w:w="2253"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省、市等督导组督办问题信息</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按照有关要求公开</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continue"/>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重大建设项目环境管理</w:t>
            </w:r>
          </w:p>
        </w:tc>
        <w:tc>
          <w:tcPr>
            <w:tcW w:w="2253"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环境影响评价、环境保护设施建设</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自该信息形成或者变更之日起 7 个工作日内。</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continue"/>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政策文件</w:t>
            </w: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与生态环境有关的法律、法规、部门规范性文件、其他政策文件</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rPr>
              <w:t>自该信息形成或者变更之日起20个工作日内及时公开。另有规定的，从其规定。</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重点</w:t>
            </w:r>
          </w:p>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领域</w:t>
            </w:r>
          </w:p>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信息</w:t>
            </w:r>
          </w:p>
        </w:tc>
        <w:tc>
          <w:tcPr>
            <w:tcW w:w="697" w:type="dxa"/>
            <w:vMerge w:val="restart"/>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环境保护</w:t>
            </w:r>
          </w:p>
        </w:tc>
        <w:tc>
          <w:tcPr>
            <w:tcW w:w="636" w:type="dxa"/>
            <w:vMerge w:val="restart"/>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sz w:val="21"/>
                <w:szCs w:val="21"/>
                <w:vertAlign w:val="baseline"/>
                <w:lang w:val="en-US" w:eastAsia="zh-CN"/>
              </w:rPr>
              <w:t>公共服务事项</w:t>
            </w:r>
          </w:p>
        </w:tc>
        <w:tc>
          <w:tcPr>
            <w:tcW w:w="636"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color w:val="000000"/>
                <w:kern w:val="0"/>
                <w:sz w:val="21"/>
                <w:szCs w:val="21"/>
                <w:lang w:val="en-US" w:eastAsia="zh-CN" w:bidi="ar"/>
              </w:rPr>
              <w:t>污染源监督监测</w:t>
            </w:r>
          </w:p>
        </w:tc>
        <w:tc>
          <w:tcPr>
            <w:tcW w:w="2253"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涉大气、水、固废等环境质量监督检测</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按进展情况及时公开</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continue"/>
            <w:tcBorders/>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生态环境保护政策与业务咨询</w:t>
            </w: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环境保护政策及业务办理事项相关内容</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rPr>
              <w:t>自该信息形成或者变更之日起20个工作日内及时公开。另有规定的，从其规定。</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continue"/>
            <w:tcBorders/>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eastAsia="zh-CN"/>
              </w:rPr>
              <w:t>生态环境统计</w:t>
            </w:r>
          </w:p>
        </w:tc>
        <w:tc>
          <w:tcPr>
            <w:tcW w:w="2253"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lang w:val="en-US" w:eastAsia="zh-CN"/>
              </w:rPr>
              <w:t>污染物排放总量信息</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rPr>
              <w:t>自该信息形成或者变更之日起20个工作日内及时公开。另有规定的，从其规定。</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continue"/>
            <w:tcBorders/>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color w:val="000000"/>
                <w:kern w:val="0"/>
                <w:sz w:val="21"/>
                <w:szCs w:val="21"/>
                <w:lang w:val="en-US" w:eastAsia="zh-CN" w:bidi="ar"/>
              </w:rPr>
              <w:t>污染源信息发布</w:t>
            </w:r>
          </w:p>
        </w:tc>
        <w:tc>
          <w:tcPr>
            <w:tcW w:w="2253" w:type="dxa"/>
            <w:vAlign w:val="center"/>
          </w:tcPr>
          <w:p>
            <w:pPr>
              <w:keepNext w:val="0"/>
              <w:keepLines w:val="0"/>
              <w:widowControl/>
              <w:suppressLineNumbers w:val="0"/>
              <w:jc w:val="center"/>
              <w:rPr>
                <w:rFonts w:hint="default" w:ascii="黑体" w:hAnsi="黑体" w:eastAsia="黑体" w:cs="黑体"/>
                <w:sz w:val="21"/>
                <w:szCs w:val="21"/>
                <w:vertAlign w:val="baseline"/>
                <w:lang w:val="en-US"/>
              </w:rPr>
            </w:pPr>
            <w:r>
              <w:rPr>
                <w:rFonts w:hint="eastAsia" w:ascii="黑体" w:hAnsi="黑体" w:eastAsia="黑体" w:cs="黑体"/>
                <w:color w:val="000000"/>
                <w:kern w:val="0"/>
                <w:sz w:val="21"/>
                <w:szCs w:val="21"/>
                <w:lang w:val="en-US" w:eastAsia="zh-CN" w:bidi="ar"/>
              </w:rPr>
              <w:t xml:space="preserve">涉危废排污企业、排污类型 </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rPr>
              <w:t>自该信息形成或者变更之日起20个工作日内及时公开。另有规定的，从其规定。</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Merge w:val="continue"/>
            <w:tcBorders/>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jc w:val="center"/>
              <w:rPr>
                <w:rFonts w:hint="eastAsia" w:ascii="黑体" w:hAnsi="黑体" w:eastAsia="黑体" w:cs="黑体"/>
                <w:sz w:val="21"/>
                <w:szCs w:val="21"/>
                <w:vertAlign w:val="baseline"/>
                <w:lang w:val="en-US" w:eastAsia="zh-CN"/>
              </w:rPr>
            </w:pPr>
            <w:r>
              <w:rPr>
                <w:rFonts w:hint="eastAsia" w:ascii="黑体" w:hAnsi="黑体" w:eastAsia="黑体" w:cs="黑体"/>
                <w:color w:val="000000"/>
                <w:kern w:val="0"/>
                <w:sz w:val="21"/>
                <w:szCs w:val="21"/>
                <w:lang w:val="en-US" w:eastAsia="zh-CN" w:bidi="ar"/>
              </w:rPr>
              <w:t>生态环境质量信息发布</w:t>
            </w:r>
          </w:p>
        </w:tc>
        <w:tc>
          <w:tcPr>
            <w:tcW w:w="2253"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涉水、大气、土壤等环境信息</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rPr>
              <w:t>自该信息形成或者变更之日起20个工作日内及时公开。另有规定的，从其规定。</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restart"/>
            <w:vAlign w:val="center"/>
          </w:tcPr>
          <w:p>
            <w:pPr>
              <w:jc w:val="center"/>
              <w:rPr>
                <w:rFonts w:hint="default"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双随机、一公开监管</w:t>
            </w:r>
          </w:p>
          <w:p>
            <w:pPr>
              <w:jc w:val="both"/>
              <w:rPr>
                <w:rFonts w:hint="eastAsia" w:ascii="黑体" w:hAnsi="黑体" w:eastAsia="黑体" w:cs="黑体"/>
                <w:sz w:val="21"/>
                <w:szCs w:val="21"/>
                <w:vertAlign w:val="baseline"/>
                <w:lang w:val="en-US" w:eastAsia="zh-CN"/>
              </w:rPr>
            </w:pPr>
          </w:p>
        </w:tc>
        <w:tc>
          <w:tcPr>
            <w:tcW w:w="636"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随机抽查事项清单</w:t>
            </w:r>
          </w:p>
        </w:tc>
        <w:tc>
          <w:tcPr>
            <w:tcW w:w="636" w:type="dxa"/>
            <w:vAlign w:val="center"/>
          </w:tcPr>
          <w:p>
            <w:pPr>
              <w:jc w:val="center"/>
              <w:rPr>
                <w:rFonts w:hint="eastAsia" w:ascii="黑体" w:hAnsi="黑体" w:eastAsia="黑体" w:cs="黑体"/>
                <w:sz w:val="21"/>
                <w:szCs w:val="21"/>
                <w:vertAlign w:val="baseline"/>
                <w:lang w:val="en-US" w:eastAsia="zh-CN"/>
              </w:rPr>
            </w:pP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及时更新并公开随机抽查事项清单，清单要素包括抽查依据、对象、内容、方式、比例和频次等方面</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keepNext w:val="0"/>
              <w:keepLines w:val="0"/>
              <w:widowControl/>
              <w:suppressLineNumbers w:val="0"/>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color w:val="000000"/>
                <w:kern w:val="0"/>
                <w:sz w:val="21"/>
                <w:szCs w:val="21"/>
                <w:lang w:val="en-US" w:eastAsia="zh-CN" w:bidi="ar"/>
              </w:rPr>
              <w:t>自执法决定作出之日起20 个工作日内，向社会公布。行政许可、行政处罚自执法决定作出之日起7 个工作日内公开。</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抽查计划</w:t>
            </w:r>
          </w:p>
        </w:tc>
        <w:tc>
          <w:tcPr>
            <w:tcW w:w="636" w:type="dxa"/>
            <w:vAlign w:val="center"/>
          </w:tcPr>
          <w:p>
            <w:pPr>
              <w:jc w:val="center"/>
              <w:rPr>
                <w:rFonts w:hint="eastAsia" w:ascii="黑体" w:hAnsi="黑体" w:eastAsia="黑体" w:cs="黑体"/>
                <w:sz w:val="21"/>
                <w:szCs w:val="21"/>
                <w:vertAlign w:val="baseline"/>
                <w:lang w:val="en-US" w:eastAsia="zh-CN"/>
              </w:rPr>
            </w:pP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抽查计划信息</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keepNext w:val="0"/>
              <w:keepLines w:val="0"/>
              <w:widowControl/>
              <w:suppressLineNumbers w:val="0"/>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color w:val="000000"/>
                <w:kern w:val="0"/>
                <w:sz w:val="21"/>
                <w:szCs w:val="21"/>
                <w:lang w:val="en-US" w:eastAsia="zh-CN" w:bidi="ar"/>
              </w:rPr>
              <w:t>自执法决定作出之日起20 个工作日内，向社会公布。行政许可、行政处罚自执法决定作出之日起7 个工作日内公开。</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抽查</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情况和查处结果</w:t>
            </w:r>
          </w:p>
        </w:tc>
        <w:tc>
          <w:tcPr>
            <w:tcW w:w="636" w:type="dxa"/>
            <w:vAlign w:val="center"/>
          </w:tcPr>
          <w:p>
            <w:pPr>
              <w:jc w:val="center"/>
              <w:rPr>
                <w:rFonts w:hint="eastAsia" w:ascii="黑体" w:hAnsi="黑体" w:eastAsia="黑体" w:cs="黑体"/>
                <w:sz w:val="21"/>
                <w:szCs w:val="21"/>
                <w:vertAlign w:val="baseline"/>
                <w:lang w:val="en-US" w:eastAsia="zh-CN"/>
              </w:rPr>
            </w:pP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集中公开抽取情况和抽查结果，并按相关规定公开对抽查发现的违法违规行为的查处结果</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自执法决定作出之日起20 个工作日内，向社会公布。行政许可、行政处罚自执法决定作出之日起7 个工作日内公开。</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其他</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重点</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领域</w:t>
            </w:r>
          </w:p>
        </w:tc>
        <w:tc>
          <w:tcPr>
            <w:tcW w:w="697" w:type="dxa"/>
            <w:vMerge w:val="restart"/>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工作</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报告</w:t>
            </w: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任务</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分工</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与监</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督</w:t>
            </w:r>
          </w:p>
        </w:tc>
        <w:tc>
          <w:tcPr>
            <w:tcW w:w="636" w:type="dxa"/>
            <w:vAlign w:val="center"/>
          </w:tcPr>
          <w:p>
            <w:pPr>
              <w:jc w:val="center"/>
              <w:rPr>
                <w:rFonts w:hint="eastAsia" w:ascii="黑体" w:hAnsi="黑体" w:eastAsia="黑体" w:cs="黑体"/>
                <w:sz w:val="21"/>
                <w:szCs w:val="21"/>
                <w:vertAlign w:val="baseline"/>
                <w:lang w:val="en-US" w:eastAsia="zh-CN"/>
              </w:rPr>
            </w:pP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政府工作报告中涉及菏泽市生态环境局东明县分局工作的相关任务分工</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rPr>
              <w:t>自该信息形成或者变更之日起20个工作日内及时公开。另有规定的，从其规定。</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成效</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与举</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措</w:t>
            </w:r>
          </w:p>
        </w:tc>
        <w:tc>
          <w:tcPr>
            <w:tcW w:w="636" w:type="dxa"/>
            <w:vAlign w:val="center"/>
          </w:tcPr>
          <w:p>
            <w:pPr>
              <w:jc w:val="center"/>
              <w:rPr>
                <w:rFonts w:hint="eastAsia" w:ascii="黑体" w:hAnsi="黑体" w:eastAsia="黑体" w:cs="黑体"/>
                <w:sz w:val="21"/>
                <w:szCs w:val="21"/>
                <w:vertAlign w:val="baseline"/>
                <w:lang w:val="en-US" w:eastAsia="zh-CN"/>
              </w:rPr>
            </w:pPr>
          </w:p>
        </w:tc>
        <w:tc>
          <w:tcPr>
            <w:tcW w:w="2253"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执行措施、实施步骤、</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责任分工、监督方式、</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工作进展、取得成效、</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后续举措等信息</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keepNext w:val="0"/>
              <w:keepLines w:val="0"/>
              <w:widowControl/>
              <w:suppressLineNumbers w:val="0"/>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rPr>
              <w:t>自该信息形成或者变更之日起20个工作日内及时公开。另有规定的，从其规定。</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Merge w:val="continue"/>
            <w:vAlign w:val="center"/>
          </w:tcPr>
          <w:p>
            <w:pPr>
              <w:jc w:val="center"/>
              <w:rPr>
                <w:rFonts w:hint="eastAsia" w:ascii="黑体" w:hAnsi="黑体" w:eastAsia="黑体" w:cs="黑体"/>
                <w:sz w:val="21"/>
                <w:szCs w:val="21"/>
                <w:vertAlign w:val="baseline"/>
              </w:rPr>
            </w:pPr>
          </w:p>
        </w:tc>
        <w:tc>
          <w:tcPr>
            <w:tcW w:w="636"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法治</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建设</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工作</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报告</w:t>
            </w:r>
          </w:p>
        </w:tc>
        <w:tc>
          <w:tcPr>
            <w:tcW w:w="636" w:type="dxa"/>
            <w:vAlign w:val="center"/>
          </w:tcPr>
          <w:p>
            <w:pPr>
              <w:jc w:val="center"/>
              <w:rPr>
                <w:rFonts w:hint="eastAsia" w:ascii="黑体" w:hAnsi="黑体" w:eastAsia="黑体" w:cs="黑体"/>
                <w:sz w:val="21"/>
                <w:szCs w:val="21"/>
                <w:vertAlign w:val="baseline"/>
                <w:lang w:val="en-US" w:eastAsia="zh-CN"/>
              </w:rPr>
            </w:pP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法治政府建设情况年度工作报告</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每年1月31日前公开上</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年度总体情况。</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公众</w:t>
            </w:r>
          </w:p>
          <w:p>
            <w:pPr>
              <w:keepNext w:val="0"/>
              <w:keepLines w:val="0"/>
              <w:widowControl/>
              <w:suppressLineNumbers w:val="0"/>
              <w:jc w:val="center"/>
              <w:rPr>
                <w:rFonts w:hint="eastAsia" w:ascii="黑体" w:hAnsi="黑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参与</w:t>
            </w:r>
          </w:p>
        </w:tc>
        <w:tc>
          <w:tcPr>
            <w:tcW w:w="697"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部门</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受理</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答复</w:t>
            </w:r>
          </w:p>
        </w:tc>
        <w:tc>
          <w:tcPr>
            <w:tcW w:w="636"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jc w:val="center"/>
              <w:rPr>
                <w:rFonts w:hint="eastAsia" w:ascii="黑体" w:hAnsi="黑体" w:eastAsia="黑体" w:cs="黑体"/>
                <w:sz w:val="21"/>
                <w:szCs w:val="21"/>
                <w:vertAlign w:val="baseline"/>
                <w:lang w:val="en-US" w:eastAsia="zh-CN"/>
              </w:rPr>
            </w:pP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答复公众关于生态环境问题的咨询</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简单常见问题咨询的答复不超过 3 个工作日。另有规定的，从其规定。</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vAlign w:val="center"/>
          </w:tcPr>
          <w:p>
            <w:pPr>
              <w:jc w:val="center"/>
              <w:rPr>
                <w:rFonts w:hint="eastAsia" w:ascii="黑体" w:hAnsi="黑体" w:eastAsia="黑体" w:cs="黑体"/>
                <w:sz w:val="21"/>
                <w:szCs w:val="21"/>
                <w:vertAlign w:val="baseline"/>
              </w:rPr>
            </w:pPr>
          </w:p>
        </w:tc>
        <w:tc>
          <w:tcPr>
            <w:tcW w:w="697"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意见</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征集</w:t>
            </w:r>
          </w:p>
        </w:tc>
        <w:tc>
          <w:tcPr>
            <w:tcW w:w="636"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jc w:val="center"/>
              <w:rPr>
                <w:rFonts w:hint="eastAsia" w:ascii="黑体" w:hAnsi="黑体" w:eastAsia="黑体" w:cs="黑体"/>
                <w:sz w:val="21"/>
                <w:szCs w:val="21"/>
                <w:vertAlign w:val="baseline"/>
                <w:lang w:val="en-US" w:eastAsia="zh-CN"/>
              </w:rPr>
            </w:pPr>
          </w:p>
        </w:tc>
        <w:tc>
          <w:tcPr>
            <w:tcW w:w="2253"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意见收集情况</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keepNext w:val="0"/>
              <w:keepLines w:val="0"/>
              <w:widowControl/>
              <w:suppressLineNumbers w:val="0"/>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rPr>
              <w:t>自该信息形成或者变更之日起20个工作日内及时公开。另有规定的，从其规定。</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hint="eastAsia" w:ascii="黑体" w:hAnsi="黑体" w:eastAsia="黑体" w:cs="黑体"/>
                <w:sz w:val="21"/>
                <w:szCs w:val="21"/>
                <w:vertAlign w:val="baseline"/>
              </w:rPr>
            </w:pPr>
          </w:p>
        </w:tc>
        <w:tc>
          <w:tcPr>
            <w:tcW w:w="697"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信息</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公开</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指南</w:t>
            </w:r>
          </w:p>
        </w:tc>
        <w:tc>
          <w:tcPr>
            <w:tcW w:w="636"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jc w:val="center"/>
              <w:rPr>
                <w:rFonts w:hint="eastAsia" w:ascii="黑体" w:hAnsi="黑体" w:eastAsia="黑体" w:cs="黑体"/>
                <w:sz w:val="21"/>
                <w:szCs w:val="21"/>
                <w:vertAlign w:val="baseline"/>
                <w:lang w:val="en-US" w:eastAsia="zh-CN"/>
              </w:rPr>
            </w:pPr>
          </w:p>
        </w:tc>
        <w:tc>
          <w:tcPr>
            <w:tcW w:w="2253"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政府信息的分类、编排</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体系；政府信息获取方</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式；政府信息公开机构</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信息（包括名称、办公</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地址、办公时间、联系</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电话、传真号码、互联</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网联系方式等）</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rPr>
              <w:t>自该信息形成或者变更之日起20个工作日内及时公开。另有规定的，从其规定。</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jc w:val="center"/>
              <w:rPr>
                <w:rFonts w:hint="eastAsia" w:ascii="黑体" w:hAnsi="黑体" w:eastAsia="黑体" w:cs="黑体"/>
                <w:sz w:val="21"/>
                <w:szCs w:val="21"/>
                <w:vertAlign w:val="baseline"/>
              </w:rPr>
            </w:pPr>
          </w:p>
        </w:tc>
        <w:tc>
          <w:tcPr>
            <w:tcW w:w="697"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信息</w:t>
            </w:r>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公开</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年报</w:t>
            </w:r>
          </w:p>
        </w:tc>
        <w:tc>
          <w:tcPr>
            <w:tcW w:w="636" w:type="dxa"/>
            <w:vAlign w:val="center"/>
          </w:tcPr>
          <w:p>
            <w:pPr>
              <w:keepNext w:val="0"/>
              <w:keepLines w:val="0"/>
              <w:widowControl/>
              <w:suppressLineNumbers w:val="0"/>
              <w:jc w:val="center"/>
              <w:rPr>
                <w:rFonts w:hint="eastAsia" w:ascii="黑体" w:hAnsi="黑体" w:eastAsia="黑体" w:cs="黑体"/>
                <w:color w:val="000000"/>
                <w:kern w:val="0"/>
                <w:sz w:val="21"/>
                <w:szCs w:val="21"/>
                <w:lang w:val="en-US" w:eastAsia="zh-CN" w:bidi="ar"/>
              </w:rPr>
            </w:pPr>
          </w:p>
        </w:tc>
        <w:tc>
          <w:tcPr>
            <w:tcW w:w="636" w:type="dxa"/>
            <w:vAlign w:val="center"/>
          </w:tcPr>
          <w:p>
            <w:pPr>
              <w:jc w:val="center"/>
              <w:rPr>
                <w:rFonts w:hint="eastAsia" w:ascii="黑体" w:hAnsi="黑体" w:eastAsia="黑体" w:cs="黑体"/>
                <w:sz w:val="21"/>
                <w:szCs w:val="21"/>
                <w:vertAlign w:val="baseline"/>
                <w:lang w:val="en-US" w:eastAsia="zh-CN"/>
              </w:rPr>
            </w:pPr>
          </w:p>
        </w:tc>
        <w:tc>
          <w:tcPr>
            <w:tcW w:w="2253" w:type="dxa"/>
            <w:vAlign w:val="center"/>
          </w:tcPr>
          <w:p>
            <w:pPr>
              <w:jc w:val="center"/>
              <w:rPr>
                <w:rFonts w:hint="eastAsia" w:ascii="黑体" w:hAnsi="黑体" w:eastAsia="黑体" w:cs="黑体"/>
                <w:sz w:val="21"/>
                <w:szCs w:val="21"/>
                <w:vertAlign w:val="baseline"/>
              </w:rPr>
            </w:pPr>
            <w:r>
              <w:rPr>
                <w:rFonts w:hint="eastAsia" w:ascii="黑体" w:hAnsi="黑体" w:eastAsia="黑体" w:cs="黑体"/>
                <w:sz w:val="21"/>
                <w:szCs w:val="21"/>
                <w:vertAlign w:val="baseline"/>
              </w:rPr>
              <w:t>本单位历年政府信息公开工作年度报告</w:t>
            </w:r>
          </w:p>
        </w:tc>
        <w:tc>
          <w:tcPr>
            <w:tcW w:w="1478"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《政府信息公</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开条例》</w:t>
            </w:r>
          </w:p>
        </w:tc>
        <w:tc>
          <w:tcPr>
            <w:tcW w:w="3002" w:type="dxa"/>
            <w:vAlign w:val="center"/>
          </w:tcPr>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每年1月31日前公开上</w:t>
            </w:r>
          </w:p>
          <w:p>
            <w:pPr>
              <w:keepNext w:val="0"/>
              <w:keepLines w:val="0"/>
              <w:widowControl/>
              <w:suppressLineNumbers w:val="0"/>
              <w:jc w:val="center"/>
              <w:rPr>
                <w:rFonts w:hint="eastAsia" w:ascii="黑体" w:hAnsi="黑体" w:eastAsia="黑体" w:cs="黑体"/>
                <w:sz w:val="21"/>
                <w:szCs w:val="21"/>
                <w:vertAlign w:val="baseline"/>
              </w:rPr>
            </w:pPr>
            <w:r>
              <w:rPr>
                <w:rFonts w:hint="eastAsia" w:ascii="黑体" w:hAnsi="黑体" w:eastAsia="黑体" w:cs="黑体"/>
                <w:color w:val="000000"/>
                <w:kern w:val="0"/>
                <w:sz w:val="21"/>
                <w:szCs w:val="21"/>
                <w:lang w:val="en-US" w:eastAsia="zh-CN" w:bidi="ar"/>
              </w:rPr>
              <w:t>年度总体情况。</w:t>
            </w:r>
          </w:p>
        </w:tc>
        <w:tc>
          <w:tcPr>
            <w:tcW w:w="1359"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菏泽市生态环境局东明县分局</w:t>
            </w:r>
          </w:p>
        </w:tc>
        <w:tc>
          <w:tcPr>
            <w:tcW w:w="1562"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政府门户网站</w:t>
            </w:r>
          </w:p>
        </w:tc>
        <w:tc>
          <w:tcPr>
            <w:tcW w:w="657"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660" w:type="dxa"/>
            <w:vAlign w:val="center"/>
          </w:tcPr>
          <w:p>
            <w:pPr>
              <w:jc w:val="center"/>
              <w:rPr>
                <w:rFonts w:hint="eastAsia" w:ascii="黑体" w:hAnsi="黑体" w:eastAsia="黑体" w:cs="黑体"/>
                <w:kern w:val="2"/>
                <w:sz w:val="21"/>
                <w:szCs w:val="21"/>
                <w:vertAlign w:val="baseline"/>
                <w:lang w:val="en-US" w:eastAsia="zh-CN" w:bidi="ar-SA"/>
              </w:rPr>
            </w:pPr>
          </w:p>
        </w:tc>
        <w:tc>
          <w:tcPr>
            <w:tcW w:w="645" w:type="dxa"/>
            <w:vAlign w:val="center"/>
          </w:tcPr>
          <w:p>
            <w:pPr>
              <w:jc w:val="center"/>
              <w:rPr>
                <w:rFonts w:hint="eastAsia" w:ascii="黑体" w:hAnsi="黑体" w:eastAsia="黑体" w:cs="黑体"/>
                <w:kern w:val="2"/>
                <w:sz w:val="21"/>
                <w:szCs w:val="21"/>
                <w:vertAlign w:val="baseline"/>
                <w:lang w:val="en-US" w:eastAsia="zh-CN" w:bidi="ar-SA"/>
              </w:rPr>
            </w:pPr>
            <w:r>
              <w:rPr>
                <w:rFonts w:hint="eastAsia" w:ascii="黑体" w:hAnsi="黑体" w:eastAsia="黑体" w:cs="黑体"/>
                <w:sz w:val="21"/>
                <w:szCs w:val="21"/>
                <w:vertAlign w:val="baseline"/>
                <w:lang w:val="en-US" w:eastAsia="zh-CN"/>
              </w:rPr>
              <w:t>√</w:t>
            </w:r>
          </w:p>
        </w:tc>
        <w:tc>
          <w:tcPr>
            <w:tcW w:w="705" w:type="dxa"/>
            <w:vAlign w:val="center"/>
          </w:tcPr>
          <w:p>
            <w:pPr>
              <w:jc w:val="center"/>
              <w:rPr>
                <w:rFonts w:hint="eastAsia" w:ascii="黑体" w:hAnsi="黑体" w:eastAsia="黑体" w:cs="黑体"/>
                <w:kern w:val="2"/>
                <w:sz w:val="21"/>
                <w:szCs w:val="21"/>
                <w:vertAlign w:val="baseline"/>
                <w:lang w:val="en-US" w:eastAsia="zh-CN" w:bidi="ar-SA"/>
              </w:rPr>
            </w:pPr>
          </w:p>
        </w:tc>
      </w:tr>
    </w:tbl>
    <w:p>
      <w:pPr>
        <w:jc w:val="both"/>
      </w:pPr>
    </w:p>
    <w:sectPr>
      <w:footerReference r:id="rId3" w:type="default"/>
      <w:pgSz w:w="16838" w:h="11906" w:orient="landscape"/>
      <w:pgMar w:top="1349" w:right="1440" w:bottom="1349" w:left="1440" w:header="851" w:footer="992" w:gutter="0"/>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sz w:val="22"/>
                              <w:szCs w:val="36"/>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0"/>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sz w:val="22"/>
                        <w:szCs w:val="36"/>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0"/>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NGQyN2JhMmM4ODRkMWE0YjAwYTdiYjRhNmI2YmEifQ=="/>
  </w:docVars>
  <w:rsids>
    <w:rsidRoot w:val="7B215B28"/>
    <w:rsid w:val="06A0784E"/>
    <w:rsid w:val="07E530B7"/>
    <w:rsid w:val="082F6A02"/>
    <w:rsid w:val="13AE369B"/>
    <w:rsid w:val="13FF2FCC"/>
    <w:rsid w:val="194537B1"/>
    <w:rsid w:val="1E426EBA"/>
    <w:rsid w:val="1E5B4FF7"/>
    <w:rsid w:val="1F03457C"/>
    <w:rsid w:val="20C932CD"/>
    <w:rsid w:val="22802A0D"/>
    <w:rsid w:val="23B00D6A"/>
    <w:rsid w:val="2448564A"/>
    <w:rsid w:val="24927969"/>
    <w:rsid w:val="249E7671"/>
    <w:rsid w:val="26555702"/>
    <w:rsid w:val="2A06265E"/>
    <w:rsid w:val="2DC1367A"/>
    <w:rsid w:val="314A0258"/>
    <w:rsid w:val="31874E16"/>
    <w:rsid w:val="31F6203D"/>
    <w:rsid w:val="3BCC2061"/>
    <w:rsid w:val="3C753147"/>
    <w:rsid w:val="3DE7500A"/>
    <w:rsid w:val="3F8679B0"/>
    <w:rsid w:val="443A2D9A"/>
    <w:rsid w:val="44564BBE"/>
    <w:rsid w:val="44D23AE5"/>
    <w:rsid w:val="482F2688"/>
    <w:rsid w:val="4A253019"/>
    <w:rsid w:val="4B9A71CE"/>
    <w:rsid w:val="4FDA66A3"/>
    <w:rsid w:val="56EE10A3"/>
    <w:rsid w:val="59B6030B"/>
    <w:rsid w:val="5A23034F"/>
    <w:rsid w:val="5C920557"/>
    <w:rsid w:val="5F571B00"/>
    <w:rsid w:val="63697266"/>
    <w:rsid w:val="663761A5"/>
    <w:rsid w:val="674C75DE"/>
    <w:rsid w:val="68D13A36"/>
    <w:rsid w:val="69685FDC"/>
    <w:rsid w:val="6A9B7277"/>
    <w:rsid w:val="6E9129A5"/>
    <w:rsid w:val="6FB346A2"/>
    <w:rsid w:val="7092323B"/>
    <w:rsid w:val="72936E59"/>
    <w:rsid w:val="7B215B28"/>
    <w:rsid w:val="7B590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3967</Words>
  <Characters>4005</Characters>
  <Lines>0</Lines>
  <Paragraphs>0</Paragraphs>
  <TotalTime>79</TotalTime>
  <ScaleCrop>false</ScaleCrop>
  <LinksUpToDate>false</LinksUpToDate>
  <CharactersWithSpaces>4046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2023-07-28T07:21:00Z</dcterms:created>
  <dc:creator>yjj</dc:creator>
  <cp:lastModifiedBy>特别的特</cp:lastModifiedBy>
  <cp:lastPrinted>2023-09-14T07:21:43Z</cp:lastPrinted>
  <dcterms:modified xsi:type="dcterms:W3CDTF">2023-09-14T08:36:49Z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3965C25386C446B3883E5CA7896FE17F_11</vt:lpwstr>
  </property>
</Properties>
</file>